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72" w:rsidRPr="00194640" w:rsidRDefault="006755E4">
      <w:pPr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>ESPACIO INFORMACIÓN</w:t>
      </w:r>
    </w:p>
    <w:p w:rsidR="006755E4" w:rsidRDefault="006755E4" w:rsidP="00036D35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 xml:space="preserve">LISTADO DE </w:t>
      </w:r>
      <w:r w:rsidR="00071141">
        <w:rPr>
          <w:rFonts w:asciiTheme="majorHAnsi" w:hAnsiTheme="majorHAnsi" w:cstheme="majorHAnsi"/>
          <w:b/>
        </w:rPr>
        <w:t xml:space="preserve">PERSONAS </w:t>
      </w:r>
      <w:r w:rsidRPr="00194640">
        <w:rPr>
          <w:rFonts w:asciiTheme="majorHAnsi" w:hAnsiTheme="majorHAnsi" w:cstheme="majorHAnsi"/>
          <w:b/>
        </w:rPr>
        <w:t>TRABAJADOR</w:t>
      </w:r>
      <w:r w:rsidR="00071141">
        <w:rPr>
          <w:rFonts w:asciiTheme="majorHAnsi" w:hAnsiTheme="majorHAnsi" w:cstheme="majorHAnsi"/>
          <w:b/>
        </w:rPr>
        <w:t>A</w:t>
      </w:r>
      <w:r w:rsidRPr="00194640">
        <w:rPr>
          <w:rFonts w:asciiTheme="majorHAnsi" w:hAnsiTheme="majorHAnsi" w:cstheme="majorHAnsi"/>
          <w:b/>
        </w:rPr>
        <w:t>S PREVIO A LA SOLICITUD DE MEDIDAS EXTRAORDINARIAS EN MATERIA DE COTIZACION Y PRESTACIONES POR DESEMPLEO.</w:t>
      </w:r>
    </w:p>
    <w:p w:rsidR="0049302D" w:rsidRPr="00E61C4A" w:rsidRDefault="0049302D" w:rsidP="0049302D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</w:rPr>
      </w:pPr>
      <w:r w:rsidRPr="00E61C4A">
        <w:rPr>
          <w:rFonts w:asciiTheme="majorHAnsi" w:hAnsiTheme="majorHAnsi" w:cstheme="majorHAnsi"/>
          <w:b/>
        </w:rPr>
        <w:t xml:space="preserve">Desde el MITES, se ha comprobado que se están realizando correctamente volcados diarios de información a la TGSS, de las relaciones nominales de trabajadores, enviados a través del siguiente procedimiento: </w:t>
      </w:r>
    </w:p>
    <w:p w:rsidR="0049302D" w:rsidRPr="00E61C4A" w:rsidRDefault="0049302D" w:rsidP="0049302D">
      <w:p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hyperlink r:id="rId6" w:history="1">
        <w:r w:rsidRPr="00E61C4A">
          <w:rPr>
            <w:rStyle w:val="Hipervnculo"/>
            <w:rFonts w:asciiTheme="majorHAnsi" w:hAnsiTheme="majorHAnsi" w:cstheme="majorHAnsi"/>
          </w:rPr>
          <w:t>https://expinterweb.mites.gob.es/ley11/inicio/showTramites.action?procedimientoSel=342&amp;proc=1</w:t>
        </w:r>
      </w:hyperlink>
    </w:p>
    <w:p w:rsidR="0049302D" w:rsidRPr="00E61C4A" w:rsidRDefault="0049302D" w:rsidP="0049302D">
      <w:pPr>
        <w:jc w:val="both"/>
        <w:rPr>
          <w:rFonts w:asciiTheme="majorHAnsi" w:hAnsiTheme="majorHAnsi" w:cstheme="majorHAnsi"/>
          <w:color w:val="000000"/>
          <w:sz w:val="24"/>
        </w:rPr>
      </w:pPr>
      <w:r w:rsidRPr="00E61C4A">
        <w:rPr>
          <w:rFonts w:asciiTheme="majorHAnsi" w:hAnsiTheme="majorHAnsi" w:cstheme="majorHAnsi"/>
          <w:b/>
          <w:bCs/>
          <w:color w:val="000000"/>
          <w:szCs w:val="21"/>
        </w:rPr>
        <w:t xml:space="preserve">Si no se ha tramitado a través de dicho procedimiento no le llegará a la TGSS. </w:t>
      </w:r>
      <w:r w:rsidRPr="00E61C4A">
        <w:rPr>
          <w:rFonts w:asciiTheme="majorHAnsi" w:hAnsiTheme="majorHAnsi" w:cstheme="majorHAnsi"/>
          <w:color w:val="000000"/>
          <w:sz w:val="24"/>
          <w:szCs w:val="23"/>
        </w:rPr>
        <w:t> </w:t>
      </w:r>
    </w:p>
    <w:p w:rsidR="0049302D" w:rsidRDefault="0049302D" w:rsidP="0049302D">
      <w:pPr>
        <w:spacing w:before="100" w:beforeAutospacing="1" w:after="100" w:afterAutospacing="1"/>
        <w:jc w:val="both"/>
        <w:rPr>
          <w:color w:val="000000"/>
        </w:rPr>
      </w:pPr>
      <w:r w:rsidRPr="00E61C4A">
        <w:rPr>
          <w:rFonts w:asciiTheme="majorHAnsi" w:hAnsiTheme="majorHAnsi" w:cstheme="majorHAnsi"/>
          <w:color w:val="000000"/>
          <w:szCs w:val="21"/>
          <w:highlight w:val="yellow"/>
        </w:rPr>
        <w:t>En el caso de que su listado contenga errores y haya sido rechazado por TGSS deberá subsanarlos antes de poder presentar la declaración responsable ante la TGSS</w:t>
      </w:r>
      <w:r>
        <w:rPr>
          <w:rFonts w:ascii="Segoe UI" w:hAnsi="Segoe UI" w:cs="Segoe UI"/>
          <w:color w:val="000000"/>
          <w:sz w:val="21"/>
          <w:szCs w:val="21"/>
        </w:rPr>
        <w:t>.</w:t>
      </w:r>
      <w:r>
        <w:rPr>
          <w:rFonts w:ascii="Segoe UI" w:hAnsi="Segoe UI" w:cs="Segoe UI"/>
          <w:color w:val="000000"/>
        </w:rPr>
        <w:t> </w:t>
      </w:r>
    </w:p>
    <w:p w:rsidR="0049302D" w:rsidRPr="00E61C4A" w:rsidRDefault="0049302D" w:rsidP="0049302D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  <w:sz w:val="24"/>
        </w:rPr>
      </w:pPr>
      <w:r w:rsidRPr="00E61C4A">
        <w:rPr>
          <w:rFonts w:asciiTheme="majorHAnsi" w:hAnsiTheme="majorHAnsi" w:cstheme="majorHAnsi"/>
          <w:color w:val="000000"/>
          <w:szCs w:val="21"/>
        </w:rPr>
        <w:t xml:space="preserve">Debe comprobar los datos </w:t>
      </w:r>
      <w:proofErr w:type="gramStart"/>
      <w:r w:rsidRPr="00E61C4A">
        <w:rPr>
          <w:rFonts w:asciiTheme="majorHAnsi" w:hAnsiTheme="majorHAnsi" w:cstheme="majorHAnsi"/>
          <w:color w:val="000000"/>
          <w:szCs w:val="21"/>
        </w:rPr>
        <w:t>del mismo</w:t>
      </w:r>
      <w:proofErr w:type="gramEnd"/>
      <w:r w:rsidRPr="00E61C4A">
        <w:rPr>
          <w:rFonts w:asciiTheme="majorHAnsi" w:hAnsiTheme="majorHAnsi" w:cstheme="majorHAnsi"/>
          <w:color w:val="000000"/>
          <w:szCs w:val="21"/>
        </w:rPr>
        <w:t xml:space="preserve"> y subsanar los errores que pueda incluir. Le </w:t>
      </w:r>
      <w:r w:rsidRPr="00E61C4A">
        <w:rPr>
          <w:rFonts w:asciiTheme="majorHAnsi" w:hAnsiTheme="majorHAnsi" w:cstheme="majorHAnsi"/>
          <w:b/>
          <w:bCs/>
          <w:color w:val="000000"/>
          <w:szCs w:val="21"/>
        </w:rPr>
        <w:t>rogamos revisen a la mayor brevedad, que el CCC, el NAF de cada trabajador y el tipo de ERTE sea el correcto, si el Excel contiene errores de este tipo no se procesará en la TGSS.</w:t>
      </w:r>
      <w:r w:rsidRPr="00E61C4A">
        <w:rPr>
          <w:rFonts w:asciiTheme="majorHAnsi" w:hAnsiTheme="majorHAnsi" w:cstheme="majorHAnsi"/>
          <w:color w:val="000000"/>
          <w:sz w:val="24"/>
        </w:rPr>
        <w:t> </w:t>
      </w:r>
    </w:p>
    <w:p w:rsidR="0049302D" w:rsidRPr="00E61C4A" w:rsidRDefault="0049302D" w:rsidP="0049302D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  <w:sz w:val="24"/>
        </w:rPr>
      </w:pPr>
      <w:r w:rsidRPr="00E61C4A">
        <w:rPr>
          <w:rFonts w:asciiTheme="majorHAnsi" w:hAnsiTheme="majorHAnsi" w:cstheme="majorHAnsi"/>
          <w:color w:val="000000"/>
          <w:szCs w:val="21"/>
        </w:rPr>
        <w:t>Una vez detectados los errores deben proceder a subsanar el listado, siguiendo las instrucciones que se detallan:</w:t>
      </w:r>
      <w:r w:rsidRPr="00E61C4A">
        <w:rPr>
          <w:rFonts w:asciiTheme="majorHAnsi" w:hAnsiTheme="majorHAnsi" w:cstheme="majorHAnsi"/>
          <w:color w:val="000000"/>
          <w:sz w:val="24"/>
        </w:rPr>
        <w:t> </w:t>
      </w:r>
    </w:p>
    <w:p w:rsidR="0049302D" w:rsidRPr="00E61C4A" w:rsidRDefault="0049302D" w:rsidP="0049302D">
      <w:pPr>
        <w:pStyle w:val="NormalWeb"/>
        <w:spacing w:before="0" w:beforeAutospacing="0" w:after="18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  <w:r w:rsidRPr="00E61C4A">
        <w:rPr>
          <w:rFonts w:asciiTheme="majorHAnsi" w:hAnsiTheme="majorHAnsi" w:cstheme="majorHAnsi"/>
          <w:b/>
          <w:bCs/>
          <w:color w:val="000000"/>
          <w:sz w:val="22"/>
          <w:szCs w:val="21"/>
        </w:rPr>
        <w:t>INSTRUCCIONES PARA LA SUBSANACIÓN DE ERRORES EN EL LISTADO DE PERSONAS TRABAJADORAS</w:t>
      </w:r>
    </w:p>
    <w:p w:rsidR="00CC4010" w:rsidRPr="00CC4010" w:rsidRDefault="00CC4010" w:rsidP="0049302D">
      <w:pPr>
        <w:pStyle w:val="NormalWeb"/>
        <w:spacing w:before="0" w:beforeAutospacing="0" w:after="180" w:afterAutospacing="0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proofErr w:type="spellStart"/>
      <w:r w:rsidRPr="00CC4010">
        <w:rPr>
          <w:rFonts w:asciiTheme="majorHAnsi" w:eastAsiaTheme="minorHAnsi" w:hAnsiTheme="majorHAnsi" w:cstheme="majorHAnsi"/>
          <w:sz w:val="22"/>
          <w:szCs w:val="22"/>
          <w:lang w:eastAsia="en-US"/>
        </w:rPr>
        <w:t>En</w:t>
      </w:r>
      <w:proofErr w:type="spellEnd"/>
      <w:r w:rsidRPr="00CC401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el caso de </w:t>
      </w:r>
      <w:proofErr w:type="gramStart"/>
      <w:r w:rsidRPr="00CC4010">
        <w:rPr>
          <w:rFonts w:asciiTheme="majorHAnsi" w:eastAsiaTheme="minorHAnsi" w:hAnsiTheme="majorHAnsi" w:cstheme="majorHAnsi"/>
          <w:sz w:val="22"/>
          <w:szCs w:val="22"/>
          <w:lang w:eastAsia="en-US"/>
        </w:rPr>
        <w:t>que</w:t>
      </w:r>
      <w:proofErr w:type="gramEnd"/>
      <w:r w:rsidRPr="00CC401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con posterioridad a la presentación del listado de personas trabajadoras, se detecten errores en la misma relativos al </w:t>
      </w:r>
      <w:proofErr w:type="spellStart"/>
      <w:r w:rsidRPr="00CC4010">
        <w:rPr>
          <w:rFonts w:asciiTheme="majorHAnsi" w:eastAsiaTheme="minorHAnsi" w:hAnsiTheme="majorHAnsi" w:cstheme="majorHAnsi"/>
          <w:sz w:val="22"/>
          <w:szCs w:val="22"/>
          <w:lang w:eastAsia="en-US"/>
        </w:rPr>
        <w:t>Nº</w:t>
      </w:r>
      <w:proofErr w:type="spellEnd"/>
      <w:r w:rsidRPr="00CC401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de Afiliación o el DNI de la persona trabajadora o el Código Cuenta Cotización de la empresa o del centro de trabajo, o del código del ERTE.</w:t>
      </w:r>
    </w:p>
    <w:p w:rsidR="00CC4010" w:rsidRDefault="00CC4010" w:rsidP="00CC401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CC4010">
        <w:rPr>
          <w:rFonts w:asciiTheme="majorHAnsi" w:eastAsiaTheme="minorHAnsi" w:hAnsiTheme="majorHAnsi" w:cstheme="majorHAnsi"/>
          <w:sz w:val="22"/>
          <w:szCs w:val="22"/>
          <w:lang w:eastAsia="en-US"/>
        </w:rPr>
        <w:t>Se deberá remitir una nueva relación de personas trabajadoras que incluya </w:t>
      </w:r>
      <w:r w:rsidRPr="00CC4010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únicamente aquellas personas trabajadoras afectadas por los errores detectados</w:t>
      </w:r>
      <w:r w:rsidRPr="00CC4010">
        <w:rPr>
          <w:rFonts w:asciiTheme="majorHAnsi" w:eastAsiaTheme="minorHAnsi" w:hAnsiTheme="majorHAnsi" w:cstheme="majorHAnsi"/>
          <w:sz w:val="22"/>
          <w:szCs w:val="22"/>
          <w:lang w:eastAsia="en-US"/>
        </w:rPr>
        <w:t>.</w:t>
      </w:r>
    </w:p>
    <w:p w:rsidR="00CC4010" w:rsidRPr="00CC4010" w:rsidRDefault="00CC4010" w:rsidP="00CC401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CC4010" w:rsidRDefault="00CC4010" w:rsidP="00E61C4A">
      <w:pPr>
        <w:pStyle w:val="NormalWeb"/>
        <w:spacing w:before="0" w:beforeAutospacing="0" w:after="180" w:afterAutospacing="0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CC4010">
        <w:rPr>
          <w:rFonts w:asciiTheme="majorHAnsi" w:eastAsiaTheme="minorHAnsi" w:hAnsiTheme="majorHAnsi" w:cstheme="majorHAnsi"/>
          <w:sz w:val="22"/>
          <w:szCs w:val="22"/>
          <w:lang w:eastAsia="en-US"/>
        </w:rPr>
        <w:t>Es importante que al realizar la subsanación se ponga el número de registro de la última subsanación y no el del alta inicial.</w:t>
      </w:r>
    </w:p>
    <w:p w:rsidR="00E61C4A" w:rsidRPr="00E61C4A" w:rsidRDefault="00E61C4A" w:rsidP="00E61C4A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E61C4A">
        <w:rPr>
          <w:rFonts w:asciiTheme="majorHAnsi" w:hAnsiTheme="majorHAnsi" w:cstheme="majorHAnsi"/>
          <w:b/>
          <w:bCs/>
          <w:color w:val="000000"/>
        </w:rPr>
        <w:t xml:space="preserve">Para poder realizar la subsanación deberán acceder con el mismo certificado o </w:t>
      </w:r>
      <w:proofErr w:type="spellStart"/>
      <w:r w:rsidRPr="00E61C4A">
        <w:rPr>
          <w:rFonts w:asciiTheme="majorHAnsi" w:hAnsiTheme="majorHAnsi" w:cstheme="majorHAnsi"/>
          <w:b/>
          <w:bCs/>
          <w:color w:val="000000"/>
        </w:rPr>
        <w:t>cl@ve</w:t>
      </w:r>
      <w:proofErr w:type="spellEnd"/>
      <w:r w:rsidRPr="00E61C4A">
        <w:rPr>
          <w:rFonts w:asciiTheme="majorHAnsi" w:hAnsiTheme="majorHAnsi" w:cstheme="majorHAnsi"/>
          <w:b/>
          <w:bCs/>
          <w:color w:val="000000"/>
        </w:rPr>
        <w:t xml:space="preserve"> con el que se realizó el trámite</w:t>
      </w:r>
      <w:r w:rsidRPr="00E61C4A">
        <w:rPr>
          <w:rFonts w:asciiTheme="majorHAnsi" w:hAnsiTheme="majorHAnsi" w:cstheme="majorHAnsi"/>
          <w:color w:val="000000"/>
        </w:rPr>
        <w:t xml:space="preserve">, </w:t>
      </w:r>
      <w:r w:rsidRPr="00E61C4A">
        <w:rPr>
          <w:rFonts w:asciiTheme="majorHAnsi" w:hAnsiTheme="majorHAnsi" w:cstheme="majorHAnsi"/>
          <w:b/>
          <w:bCs/>
          <w:color w:val="000000"/>
        </w:rPr>
        <w:t xml:space="preserve">indicando el último </w:t>
      </w:r>
      <w:proofErr w:type="spellStart"/>
      <w:r w:rsidRPr="00E61C4A">
        <w:rPr>
          <w:rFonts w:asciiTheme="majorHAnsi" w:hAnsiTheme="majorHAnsi" w:cstheme="majorHAnsi"/>
          <w:b/>
          <w:bCs/>
          <w:color w:val="000000"/>
        </w:rPr>
        <w:t>nº</w:t>
      </w:r>
      <w:proofErr w:type="spellEnd"/>
      <w:r w:rsidRPr="00E61C4A">
        <w:rPr>
          <w:rFonts w:asciiTheme="majorHAnsi" w:hAnsiTheme="majorHAnsi" w:cstheme="majorHAnsi"/>
          <w:b/>
          <w:bCs/>
          <w:color w:val="000000"/>
        </w:rPr>
        <w:t xml:space="preserve"> de registro que le dio la aplicación (si han realizado una subsanación previa deberán utilizar el </w:t>
      </w:r>
      <w:proofErr w:type="spellStart"/>
      <w:r w:rsidRPr="00E61C4A">
        <w:rPr>
          <w:rFonts w:asciiTheme="majorHAnsi" w:hAnsiTheme="majorHAnsi" w:cstheme="majorHAnsi"/>
          <w:b/>
          <w:bCs/>
          <w:color w:val="000000"/>
        </w:rPr>
        <w:t>nº</w:t>
      </w:r>
      <w:proofErr w:type="spellEnd"/>
      <w:r w:rsidRPr="00E61C4A">
        <w:rPr>
          <w:rFonts w:asciiTheme="majorHAnsi" w:hAnsiTheme="majorHAnsi" w:cstheme="majorHAnsi"/>
          <w:b/>
          <w:bCs/>
          <w:color w:val="000000"/>
        </w:rPr>
        <w:t xml:space="preserve"> de registro que se indicó en esa subsanación, no el del primer envió) y deben eliminar el fichero antiguo e incluir únicamente el nuevo Excel corregido, en el apartado "documentación adjunta al trámite". </w:t>
      </w:r>
    </w:p>
    <w:p w:rsidR="00E61C4A" w:rsidRDefault="00E61C4A" w:rsidP="00E61C4A">
      <w:pPr>
        <w:rPr>
          <w:rFonts w:asciiTheme="majorHAnsi" w:hAnsiTheme="majorHAnsi" w:cstheme="majorHAnsi"/>
          <w:color w:val="000000"/>
        </w:rPr>
      </w:pPr>
      <w:r w:rsidRPr="00E61C4A">
        <w:rPr>
          <w:rFonts w:asciiTheme="majorHAnsi" w:hAnsiTheme="majorHAnsi" w:cstheme="majorHAnsi"/>
          <w:color w:val="000000"/>
        </w:rPr>
        <w:t>Desde el siguiente enlace puede acceder a la opción "subsanación":</w:t>
      </w:r>
      <w:r w:rsidRPr="00E61C4A">
        <w:rPr>
          <w:rFonts w:asciiTheme="majorHAnsi" w:hAnsiTheme="majorHAnsi" w:cstheme="majorHAnsi"/>
          <w:color w:val="000000"/>
        </w:rPr>
        <w:br/>
      </w:r>
      <w:hyperlink r:id="rId7" w:tgtFrame="_blank" w:tooltip="https://expinterweb.mites.gob.es/ley11/inicio/elegirtramite.action?tramitesel=4&amp;procedimientosel=342&amp;proc=2" w:history="1">
        <w:r w:rsidRPr="00E61C4A">
          <w:rPr>
            <w:rStyle w:val="Hipervnculo"/>
            <w:rFonts w:asciiTheme="majorHAnsi" w:hAnsiTheme="majorHAnsi" w:cstheme="majorHAnsi"/>
          </w:rPr>
          <w:t>https://expinterweb.mites.gob.es/ley11/inicio/elegirTramite.action?tramiteSel=4&amp;procedimientoSel=342&amp;proc=2</w:t>
        </w:r>
      </w:hyperlink>
      <w:r w:rsidRPr="00E61C4A">
        <w:rPr>
          <w:rFonts w:asciiTheme="majorHAnsi" w:hAnsiTheme="majorHAnsi" w:cstheme="majorHAnsi"/>
          <w:color w:val="000000"/>
        </w:rPr>
        <w:t> </w:t>
      </w:r>
    </w:p>
    <w:p w:rsidR="00E61C4A" w:rsidRDefault="00E61C4A" w:rsidP="00E61C4A">
      <w:pPr>
        <w:rPr>
          <w:rFonts w:asciiTheme="majorHAnsi" w:hAnsiTheme="majorHAnsi" w:cstheme="majorHAnsi"/>
          <w:color w:val="000000"/>
        </w:rPr>
      </w:pPr>
    </w:p>
    <w:p w:rsidR="00E61C4A" w:rsidRPr="00E61C4A" w:rsidRDefault="00E61C4A" w:rsidP="00E61C4A">
      <w:pPr>
        <w:rPr>
          <w:rFonts w:asciiTheme="majorHAnsi" w:hAnsiTheme="majorHAnsi" w:cstheme="majorHAnsi"/>
          <w:color w:val="000000"/>
        </w:rPr>
      </w:pPr>
    </w:p>
    <w:p w:rsidR="00415CEA" w:rsidRPr="00194640" w:rsidRDefault="00415CEA">
      <w:pPr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lastRenderedPageBreak/>
        <w:t>Obligación.</w:t>
      </w:r>
    </w:p>
    <w:p w:rsidR="00AE701A" w:rsidRPr="00194640" w:rsidRDefault="00AE701A" w:rsidP="00415CEA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</w:rPr>
        <w:t xml:space="preserve">El listado de </w:t>
      </w:r>
      <w:r w:rsidR="00071141">
        <w:rPr>
          <w:rFonts w:asciiTheme="majorHAnsi" w:hAnsiTheme="majorHAnsi" w:cstheme="majorHAnsi"/>
        </w:rPr>
        <w:t xml:space="preserve">las personas </w:t>
      </w:r>
      <w:r w:rsidRPr="00194640">
        <w:rPr>
          <w:rFonts w:asciiTheme="majorHAnsi" w:hAnsiTheme="majorHAnsi" w:cstheme="majorHAnsi"/>
        </w:rPr>
        <w:t>trabajador</w:t>
      </w:r>
      <w:r w:rsidR="00071141"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 xml:space="preserve">s previo a la solicitud de medidas extraordinarias en materia de cotización y prestaciones por desempleo debe presentarse </w:t>
      </w:r>
      <w:r w:rsidR="00415CEA" w:rsidRPr="00194640">
        <w:rPr>
          <w:rFonts w:asciiTheme="majorHAnsi" w:hAnsiTheme="majorHAnsi" w:cstheme="majorHAnsi"/>
        </w:rPr>
        <w:t xml:space="preserve">por las empresas </w:t>
      </w:r>
      <w:r w:rsidRPr="00194640">
        <w:rPr>
          <w:rFonts w:asciiTheme="majorHAnsi" w:hAnsiTheme="majorHAnsi" w:cstheme="majorHAnsi"/>
        </w:rPr>
        <w:t>en los siguientes s</w:t>
      </w:r>
      <w:r w:rsidR="00415CEA" w:rsidRPr="00194640">
        <w:rPr>
          <w:rFonts w:asciiTheme="majorHAnsi" w:hAnsiTheme="majorHAnsi" w:cstheme="majorHAnsi"/>
        </w:rPr>
        <w:t>upuestos:</w:t>
      </w:r>
    </w:p>
    <w:p w:rsidR="00AE701A" w:rsidRPr="00194640" w:rsidRDefault="00AE701A" w:rsidP="00415CEA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Los expedientes de regulación temporal de empleo incluidos en el artículo 1 del Real Decreto Ley 18/2021, de 28 de septiembre cuya prórroga se haya autorizado.</w:t>
      </w:r>
    </w:p>
    <w:p w:rsidR="00AE701A" w:rsidRPr="00194640" w:rsidRDefault="00AE701A" w:rsidP="00415CEA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Nuevos expedientes de regulación temporal de empleo autorizados a partir del 1 de octubre de 2021, autorizados conforme al Real Decreto Ley 18/2021.</w:t>
      </w:r>
    </w:p>
    <w:p w:rsidR="00AE701A" w:rsidRPr="00194640" w:rsidRDefault="00AE701A" w:rsidP="00415CEA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Existencia de nuevas personas trabajadoras que pasen a estar incluidas en un expediente de regulación de empleo previsto en los apartados anteriores.</w:t>
      </w:r>
    </w:p>
    <w:p w:rsidR="00AE701A" w:rsidRPr="00194640" w:rsidRDefault="00AE701A" w:rsidP="00415CEA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 xml:space="preserve">Plazo de presentación. </w:t>
      </w:r>
    </w:p>
    <w:p w:rsidR="003E7784" w:rsidRDefault="003E7784" w:rsidP="00415CE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Debido a las incidencias técnicas en el desarrollo de esta aplicación </w:t>
      </w:r>
      <w:r w:rsidRPr="00F85A7E">
        <w:rPr>
          <w:rFonts w:asciiTheme="majorHAnsi" w:hAnsiTheme="majorHAnsi" w:cstheme="majorHAnsi"/>
          <w:b/>
        </w:rPr>
        <w:t>el plazo de 5 días para proceder a la presentación del listado de trabajadores se amplia hasta el día 5 de noviembre de 2021</w:t>
      </w:r>
      <w:r>
        <w:rPr>
          <w:rFonts w:asciiTheme="majorHAnsi" w:hAnsiTheme="majorHAnsi" w:cstheme="majorHAnsi"/>
        </w:rPr>
        <w:t>, respecto de aquellas empresas que hubiesen tenido que presentar el listado antes de esa fecha.</w:t>
      </w:r>
    </w:p>
    <w:p w:rsidR="003E7784" w:rsidRDefault="003E7784" w:rsidP="00415CE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Así será posible la presentación hasta el 5 de noviembre de 2021 de los listados de empresas con ERTE prorrogados, autorizados o comunicados antes del 1 de noviembre. En todo caso se podrá presentar el listado de trabajadores en cualquier momento desde que la aplicación se encuentre en funcionamiento. Esto último tendrá lugar a más tardar el día 1 de noviembre y se informará de ello en la presente página. </w:t>
      </w:r>
    </w:p>
    <w:p w:rsidR="00194640" w:rsidRPr="00194640" w:rsidRDefault="003E7784" w:rsidP="00415CE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 el contrario para las empresas cuyo ERTE sea prorrogado, autorizado comunicado a partir del 1 de noviembre el plazo será de 5 días hábiles a partir de ese momento.</w:t>
      </w:r>
    </w:p>
    <w:p w:rsidR="00194640" w:rsidRPr="00194640" w:rsidRDefault="00194640" w:rsidP="00415CEA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>Lugar de presentación</w:t>
      </w:r>
    </w:p>
    <w:p w:rsidR="00415CEA" w:rsidRPr="00194640" w:rsidRDefault="00071141" w:rsidP="00415CEA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 xml:space="preserve">El listado de </w:t>
      </w:r>
      <w:r>
        <w:rPr>
          <w:rFonts w:asciiTheme="majorHAnsi" w:hAnsiTheme="majorHAnsi" w:cstheme="majorHAnsi"/>
        </w:rPr>
        <w:t xml:space="preserve">las personas </w:t>
      </w:r>
      <w:r w:rsidRPr="00194640">
        <w:rPr>
          <w:rFonts w:asciiTheme="majorHAnsi" w:hAnsiTheme="majorHAnsi" w:cstheme="majorHAnsi"/>
        </w:rPr>
        <w:t>trabajador</w:t>
      </w:r>
      <w:r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 xml:space="preserve">s </w:t>
      </w:r>
      <w:r w:rsidR="00194640" w:rsidRPr="00194640">
        <w:rPr>
          <w:rFonts w:asciiTheme="majorHAnsi" w:hAnsiTheme="majorHAnsi" w:cstheme="majorHAnsi"/>
        </w:rPr>
        <w:t xml:space="preserve">previo a la solicitud de medidas extraordinarias en materia de cotización y prestaciones por desempleo solo puede presentarse a través de la Sede Electrónica del Ministerio de Empleo y Economía Social </w:t>
      </w:r>
      <w:hyperlink r:id="rId8" w:history="1">
        <w:r w:rsidR="00194640" w:rsidRPr="00194640">
          <w:rPr>
            <w:rStyle w:val="Hipervnculo"/>
            <w:rFonts w:asciiTheme="majorHAnsi" w:hAnsiTheme="majorHAnsi" w:cstheme="majorHAnsi"/>
          </w:rPr>
          <w:t>http://mites.gob.es</w:t>
        </w:r>
      </w:hyperlink>
    </w:p>
    <w:p w:rsidR="00194640" w:rsidRPr="00194640" w:rsidRDefault="00194640" w:rsidP="00415CEA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>Instrucciones para la cumplimentación</w:t>
      </w:r>
    </w:p>
    <w:p w:rsidR="00194640" w:rsidRPr="00194640" w:rsidRDefault="00071141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 xml:space="preserve">El listado de </w:t>
      </w:r>
      <w:r>
        <w:rPr>
          <w:rFonts w:asciiTheme="majorHAnsi" w:hAnsiTheme="majorHAnsi" w:cstheme="majorHAnsi"/>
        </w:rPr>
        <w:t xml:space="preserve">las personas </w:t>
      </w:r>
      <w:r w:rsidRPr="00194640">
        <w:rPr>
          <w:rFonts w:asciiTheme="majorHAnsi" w:hAnsiTheme="majorHAnsi" w:cstheme="majorHAnsi"/>
        </w:rPr>
        <w:t>trabajador</w:t>
      </w:r>
      <w:r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 xml:space="preserve">s </w:t>
      </w:r>
      <w:r w:rsidR="00194640" w:rsidRPr="00194640">
        <w:rPr>
          <w:rFonts w:asciiTheme="majorHAnsi" w:hAnsiTheme="majorHAnsi" w:cstheme="majorHAnsi"/>
        </w:rPr>
        <w:t>previo a la solicitud de medidas extraordinarias en materia de cotización y prestaciones por desempleo debe remitirse en formato EXCEL y siguiendo las siguientes instrucciones:</w:t>
      </w:r>
    </w:p>
    <w:p w:rsid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El Fichero Excel consta de dos pestañas que obligatoriamente deben ir debidamente cumplimentadas.</w:t>
      </w:r>
      <w:r w:rsidR="00347AC7">
        <w:rPr>
          <w:rFonts w:asciiTheme="majorHAnsi" w:hAnsiTheme="majorHAnsi" w:cstheme="majorHAnsi"/>
        </w:rPr>
        <w:t xml:space="preserve"> Además, no se debe alterar el formato Excel.</w:t>
      </w:r>
    </w:p>
    <w:p w:rsidR="004465F4" w:rsidRPr="00194640" w:rsidRDefault="004465F4" w:rsidP="00194640">
      <w:pPr>
        <w:jc w:val="both"/>
        <w:rPr>
          <w:rFonts w:asciiTheme="majorHAnsi" w:hAnsiTheme="majorHAnsi" w:cstheme="majorHAnsi"/>
        </w:rPr>
      </w:pPr>
    </w:p>
    <w:p w:rsidR="00194640" w:rsidRDefault="00194640" w:rsidP="00194640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>PESTAÑA 1 DATOS DE L</w:t>
      </w:r>
      <w:r w:rsidR="00071141">
        <w:rPr>
          <w:rFonts w:asciiTheme="majorHAnsi" w:hAnsiTheme="majorHAnsi" w:cstheme="majorHAnsi"/>
          <w:b/>
        </w:rPr>
        <w:t>AS PER</w:t>
      </w:r>
      <w:r w:rsidR="00036D35">
        <w:rPr>
          <w:rFonts w:asciiTheme="majorHAnsi" w:hAnsiTheme="majorHAnsi" w:cstheme="majorHAnsi"/>
          <w:b/>
        </w:rPr>
        <w:t>S</w:t>
      </w:r>
      <w:r w:rsidR="00071141">
        <w:rPr>
          <w:rFonts w:asciiTheme="majorHAnsi" w:hAnsiTheme="majorHAnsi" w:cstheme="majorHAnsi"/>
          <w:b/>
        </w:rPr>
        <w:t>ONAS</w:t>
      </w:r>
      <w:r w:rsidRPr="00194640">
        <w:rPr>
          <w:rFonts w:asciiTheme="majorHAnsi" w:hAnsiTheme="majorHAnsi" w:cstheme="majorHAnsi"/>
          <w:b/>
        </w:rPr>
        <w:t xml:space="preserve"> TRABAJADOR</w:t>
      </w:r>
      <w:r w:rsidR="00071141">
        <w:rPr>
          <w:rFonts w:asciiTheme="majorHAnsi" w:hAnsiTheme="majorHAnsi" w:cstheme="majorHAnsi"/>
          <w:b/>
        </w:rPr>
        <w:t>A</w:t>
      </w:r>
      <w:r w:rsidRPr="00194640">
        <w:rPr>
          <w:rFonts w:asciiTheme="majorHAnsi" w:hAnsiTheme="majorHAnsi" w:cstheme="majorHAnsi"/>
          <w:b/>
        </w:rPr>
        <w:t>S.</w:t>
      </w:r>
    </w:p>
    <w:tbl>
      <w:tblPr>
        <w:tblStyle w:val="Tablaconcuadrcula"/>
        <w:tblW w:w="98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134"/>
        <w:gridCol w:w="1134"/>
        <w:gridCol w:w="567"/>
        <w:gridCol w:w="709"/>
        <w:gridCol w:w="1276"/>
        <w:gridCol w:w="850"/>
        <w:gridCol w:w="1088"/>
        <w:gridCol w:w="1079"/>
      </w:tblGrid>
      <w:tr w:rsidR="00AE3C8A" w:rsidRPr="00B0171E" w:rsidTr="007479EE">
        <w:trPr>
          <w:trHeight w:val="1034"/>
        </w:trPr>
        <w:tc>
          <w:tcPr>
            <w:tcW w:w="710" w:type="dxa"/>
            <w:hideMark/>
          </w:tcPr>
          <w:p w:rsidR="00AE3C8A" w:rsidRPr="00B0171E" w:rsidRDefault="00AE3C8A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CÓDIGO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CUENTA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COTIZA CIÓN</w:t>
            </w:r>
          </w:p>
        </w:tc>
        <w:tc>
          <w:tcPr>
            <w:tcW w:w="1275" w:type="dxa"/>
            <w:hideMark/>
          </w:tcPr>
          <w:p w:rsidR="00AE3C8A" w:rsidRPr="00B0171E" w:rsidRDefault="00AE3C8A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NUMERO DE SEGURIDAD SOCIAL DE</w:t>
            </w:r>
            <w:r w:rsidR="000711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L</w:t>
            </w:r>
            <w:r w:rsidR="000711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0711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PERSONA 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TRABAJADOR</w:t>
            </w:r>
            <w:r w:rsidR="000711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134" w:type="dxa"/>
            <w:hideMark/>
          </w:tcPr>
          <w:p w:rsidR="00AE3C8A" w:rsidRPr="00B0171E" w:rsidRDefault="00AE3C8A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AUTORIDAD LABORAL COMPETENTE</w:t>
            </w:r>
          </w:p>
        </w:tc>
        <w:tc>
          <w:tcPr>
            <w:tcW w:w="1134" w:type="dxa"/>
            <w:hideMark/>
          </w:tcPr>
          <w:p w:rsidR="00AE3C8A" w:rsidRPr="00B0171E" w:rsidRDefault="00AE3C8A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NUMERO DE EXPEDIENTE</w:t>
            </w:r>
          </w:p>
        </w:tc>
        <w:tc>
          <w:tcPr>
            <w:tcW w:w="567" w:type="dxa"/>
            <w:hideMark/>
          </w:tcPr>
          <w:p w:rsidR="00AE3C8A" w:rsidRPr="00B0171E" w:rsidRDefault="00AE3C8A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TIPO DE ERTE</w:t>
            </w:r>
          </w:p>
        </w:tc>
        <w:tc>
          <w:tcPr>
            <w:tcW w:w="709" w:type="dxa"/>
            <w:hideMark/>
          </w:tcPr>
          <w:p w:rsidR="00AE3C8A" w:rsidRPr="00B0171E" w:rsidRDefault="00AE3C8A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FECHA DESDE</w:t>
            </w:r>
          </w:p>
        </w:tc>
        <w:tc>
          <w:tcPr>
            <w:tcW w:w="1276" w:type="dxa"/>
            <w:hideMark/>
          </w:tcPr>
          <w:p w:rsidR="00AE3C8A" w:rsidRPr="00B0171E" w:rsidRDefault="00AE3C8A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NOMBRE Y APELLIDOS DE</w:t>
            </w:r>
            <w:r w:rsidR="007479E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LA PERSONA 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TRABAJADOR</w:t>
            </w:r>
            <w:r w:rsidR="007479E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850" w:type="dxa"/>
            <w:hideMark/>
          </w:tcPr>
          <w:p w:rsidR="00AE3C8A" w:rsidRPr="00B0171E" w:rsidRDefault="00AE3C8A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DNI DE</w:t>
            </w:r>
            <w:r w:rsidR="007479E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LA PERSONA 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TRABAJADOR</w:t>
            </w:r>
            <w:r w:rsidR="007479E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088" w:type="dxa"/>
            <w:hideMark/>
          </w:tcPr>
          <w:p w:rsidR="00AE3C8A" w:rsidRPr="00B0171E" w:rsidRDefault="00AE3C8A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FECHA DE ALTA EN LA EMPRESA</w:t>
            </w:r>
          </w:p>
        </w:tc>
        <w:tc>
          <w:tcPr>
            <w:tcW w:w="1079" w:type="dxa"/>
            <w:hideMark/>
          </w:tcPr>
          <w:p w:rsidR="00AE3C8A" w:rsidRPr="00B0171E" w:rsidRDefault="00AE3C8A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PORCENTAJE EN CASO DE REDUCCION DE JORNADA</w:t>
            </w:r>
          </w:p>
        </w:tc>
      </w:tr>
    </w:tbl>
    <w:p w:rsidR="00AE3C8A" w:rsidRPr="00194640" w:rsidRDefault="00AE3C8A" w:rsidP="00194640">
      <w:pPr>
        <w:jc w:val="both"/>
        <w:rPr>
          <w:rFonts w:asciiTheme="majorHAnsi" w:hAnsiTheme="majorHAnsi" w:cstheme="majorHAnsi"/>
          <w:b/>
        </w:rPr>
      </w:pP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lastRenderedPageBreak/>
        <w:t xml:space="preserve">Deben rellenarse todos los campos de la hoja Excel para cada </w:t>
      </w:r>
      <w:r w:rsidR="007479EE">
        <w:rPr>
          <w:rFonts w:asciiTheme="majorHAnsi" w:hAnsiTheme="majorHAnsi" w:cstheme="majorHAnsi"/>
        </w:rPr>
        <w:t xml:space="preserve">persona </w:t>
      </w:r>
      <w:r w:rsidRPr="00194640">
        <w:rPr>
          <w:rFonts w:asciiTheme="majorHAnsi" w:hAnsiTheme="majorHAnsi" w:cstheme="majorHAnsi"/>
        </w:rPr>
        <w:t>trabajador</w:t>
      </w:r>
      <w:r w:rsidR="007479EE"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 xml:space="preserve"> aún aquellos que son comunes para tod</w:t>
      </w:r>
      <w:r w:rsidR="00071141"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>s l</w:t>
      </w:r>
      <w:r w:rsidR="00071141">
        <w:rPr>
          <w:rFonts w:asciiTheme="majorHAnsi" w:hAnsiTheme="majorHAnsi" w:cstheme="majorHAnsi"/>
        </w:rPr>
        <w:t>as personas</w:t>
      </w:r>
      <w:r w:rsidRPr="00194640">
        <w:rPr>
          <w:rFonts w:asciiTheme="majorHAnsi" w:hAnsiTheme="majorHAnsi" w:cstheme="majorHAnsi"/>
        </w:rPr>
        <w:t xml:space="preserve"> trabajador</w:t>
      </w:r>
      <w:r w:rsidR="00071141"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>s como el número de cuenta o la autoridad laboral competente, o la fecha desde.</w:t>
      </w: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La cumplimentación de todos los campos es obligatoria, salvo el campo porcentaje en caso de reducción que no se rellenará para l</w:t>
      </w:r>
      <w:r w:rsidR="00071141">
        <w:rPr>
          <w:rFonts w:asciiTheme="majorHAnsi" w:hAnsiTheme="majorHAnsi" w:cstheme="majorHAnsi"/>
        </w:rPr>
        <w:t>as</w:t>
      </w:r>
      <w:r w:rsidR="00036D35">
        <w:rPr>
          <w:rFonts w:asciiTheme="majorHAnsi" w:hAnsiTheme="majorHAnsi" w:cstheme="majorHAnsi"/>
        </w:rPr>
        <w:t xml:space="preserve"> persona</w:t>
      </w:r>
      <w:r w:rsidRPr="00194640">
        <w:rPr>
          <w:rFonts w:asciiTheme="majorHAnsi" w:hAnsiTheme="majorHAnsi" w:cstheme="majorHAnsi"/>
        </w:rPr>
        <w:t>s trabajador</w:t>
      </w:r>
      <w:r w:rsidR="00036D35"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>s que se encuentren en suspensión de empleo.</w:t>
      </w: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Además los campos siguientes tienen que tener exactamente la siguiente estructura</w:t>
      </w:r>
      <w:r w:rsidR="00071141">
        <w:rPr>
          <w:rFonts w:asciiTheme="majorHAnsi" w:hAnsiTheme="majorHAnsi" w:cstheme="majorHAnsi"/>
        </w:rPr>
        <w:t>:</w:t>
      </w:r>
    </w:p>
    <w:p w:rsidR="00194640" w:rsidRDefault="00194640" w:rsidP="00194640">
      <w:pPr>
        <w:jc w:val="both"/>
        <w:rPr>
          <w:rFonts w:asciiTheme="majorHAnsi" w:hAnsiTheme="majorHAnsi" w:cstheme="majorHAnsi"/>
          <w:color w:val="000000"/>
          <w:lang w:eastAsia="es-ES"/>
        </w:rPr>
      </w:pPr>
      <w:r w:rsidRPr="00194640">
        <w:rPr>
          <w:rFonts w:asciiTheme="majorHAnsi" w:hAnsiTheme="majorHAnsi" w:cstheme="majorHAnsi"/>
        </w:rPr>
        <w:t xml:space="preserve">CAMPO NUMERO DE CUENTA: 15 dígitos con la siguiente distribución </w:t>
      </w:r>
      <w:r w:rsidRPr="00194640">
        <w:rPr>
          <w:rFonts w:asciiTheme="majorHAnsi" w:hAnsiTheme="majorHAnsi" w:cstheme="majorHAnsi"/>
          <w:color w:val="000000"/>
          <w:lang w:eastAsia="es-ES"/>
        </w:rPr>
        <w:t>RÉGIMEN (N4), PROVINCIA (N2) Y NÚMERO (N9)</w:t>
      </w:r>
      <w:r w:rsidR="008B4E38">
        <w:rPr>
          <w:rFonts w:asciiTheme="majorHAnsi" w:hAnsiTheme="majorHAnsi" w:cstheme="majorHAnsi"/>
          <w:color w:val="000000"/>
          <w:lang w:eastAsia="es-ES"/>
        </w:rPr>
        <w:t xml:space="preserve"> Debe cumplimentarse obligatoriamente con 15 dígitos, en caso necesario se rellenará con ceros a la izquierda.</w:t>
      </w:r>
    </w:p>
    <w:p w:rsidR="0061030B" w:rsidRDefault="0061030B" w:rsidP="00194640">
      <w:pPr>
        <w:jc w:val="both"/>
        <w:rPr>
          <w:rFonts w:asciiTheme="majorHAnsi" w:hAnsiTheme="majorHAnsi" w:cstheme="majorHAnsi"/>
          <w:color w:val="000000"/>
          <w:lang w:eastAsia="es-ES"/>
        </w:rPr>
      </w:pPr>
      <w:r>
        <w:rPr>
          <w:rFonts w:asciiTheme="majorHAnsi" w:hAnsiTheme="majorHAnsi" w:cstheme="majorHAnsi"/>
          <w:color w:val="000000"/>
          <w:lang w:eastAsia="es-ES"/>
        </w:rPr>
        <w:t>Códigos de los regímenes: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 xml:space="preserve">0111. Régimen General 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0112. Régimen General. Artistas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 xml:space="preserve">0163. Régimen General. Sistema Especial Agrario para Trabajadores por cuenta ajena 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0811. Régimen Especial del Mar. Grupo I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0812. Régimen Especial del Mar. Grupo II A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0813. Régimen Especial del Mar. Grupo II B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0814. Régimen Especial del Mar. Grupo III</w:t>
      </w:r>
    </w:p>
    <w:p w:rsidR="0061030B" w:rsidRPr="00194640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0911. Régimen Especial de la Minería del Carbón</w:t>
      </w: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 xml:space="preserve">CAMPO NUMERO DE SEGURIDAD SOCIAL 12 dígitos </w:t>
      </w:r>
      <w:r w:rsidRPr="00194640">
        <w:rPr>
          <w:rFonts w:asciiTheme="majorHAnsi" w:hAnsiTheme="majorHAnsi" w:cstheme="majorHAnsi"/>
          <w:color w:val="000000"/>
          <w:lang w:eastAsia="es-ES"/>
        </w:rPr>
        <w:t>PROVINCIA (N2) Y NÚMERO (N10)</w:t>
      </w:r>
      <w:r w:rsidR="008B4E38">
        <w:rPr>
          <w:rFonts w:asciiTheme="majorHAnsi" w:hAnsiTheme="majorHAnsi" w:cstheme="majorHAnsi"/>
          <w:color w:val="000000"/>
          <w:lang w:eastAsia="es-ES"/>
        </w:rPr>
        <w:t xml:space="preserve"> Debe cumplimentarse obligatoriamente con 12 dígitos, en caso necesario se rellenará con ceros a la izquierda.</w:t>
      </w: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CAMPO AUTORIDAD LABORAL COMPETENTE 2 dígitos según la tabla que se adjunta.</w:t>
      </w: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CAMPO NUMERO DE EXPEDIENTE 20 caract</w:t>
      </w:r>
      <w:r w:rsidR="008B4E38">
        <w:rPr>
          <w:rFonts w:asciiTheme="majorHAnsi" w:hAnsiTheme="majorHAnsi" w:cstheme="majorHAnsi"/>
        </w:rPr>
        <w:t>e</w:t>
      </w:r>
      <w:r w:rsidRPr="00194640">
        <w:rPr>
          <w:rFonts w:asciiTheme="majorHAnsi" w:hAnsiTheme="majorHAnsi" w:cstheme="majorHAnsi"/>
        </w:rPr>
        <w:t>res. Campo alfanumérico, dada la diferente codificación de cada autoridad laboral se cumplimentará el código tal como se figure en la resolución de la autoridad laboral.</w:t>
      </w:r>
    </w:p>
    <w:p w:rsidR="00194640" w:rsidRPr="008B4E38" w:rsidRDefault="00194640" w:rsidP="00194640">
      <w:pPr>
        <w:jc w:val="both"/>
        <w:rPr>
          <w:rFonts w:asciiTheme="majorHAnsi" w:hAnsiTheme="majorHAnsi" w:cstheme="majorHAnsi"/>
        </w:rPr>
      </w:pPr>
      <w:r w:rsidRPr="008B4E38">
        <w:rPr>
          <w:rFonts w:asciiTheme="majorHAnsi" w:hAnsiTheme="majorHAnsi" w:cstheme="majorHAnsi"/>
        </w:rPr>
        <w:t>CAMPO TIPO DE ERTE: 3 dígitos, según la tabla que se adjunta. Se consignará el código de la Declaración Responsable que se deba comunicar a la Tesorería General de la Seguridad Social para la aplicación de exenciones en la cotización correspondientes al mes de septiembre de 2021 –es decir, el código de la Declaración Responsable a presentar antes de que se solicite la liquidación de cuotas durante el mes de octubre de 2021-.</w:t>
      </w: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FECHA DESDE 8 dígitos con el formato AAAAMMDD</w:t>
      </w:r>
    </w:p>
    <w:p w:rsidR="00194640" w:rsidRDefault="00194640" w:rsidP="00194640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>PESTAÑA 2 DATOS DE LA EMPRESA</w:t>
      </w:r>
    </w:p>
    <w:tbl>
      <w:tblPr>
        <w:tblW w:w="5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</w:tblGrid>
      <w:tr w:rsidR="00036D35" w:rsidRPr="0097600C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Nombre de la empresa</w:t>
            </w:r>
          </w:p>
        </w:tc>
      </w:tr>
      <w:tr w:rsidR="00036D35" w:rsidRPr="0097600C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CIF de la empresa</w:t>
            </w:r>
          </w:p>
        </w:tc>
      </w:tr>
      <w:tr w:rsidR="00036D35" w:rsidRPr="0097600C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C</w:t>
            </w:r>
            <w:r w:rsidRPr="000039A8">
              <w:t xml:space="preserve">ódigo </w:t>
            </w:r>
            <w:r w:rsidRPr="0097600C">
              <w:t>C</w:t>
            </w:r>
            <w:r w:rsidRPr="000039A8">
              <w:t xml:space="preserve">uenta </w:t>
            </w:r>
            <w:r w:rsidRPr="0097600C">
              <w:t>C</w:t>
            </w:r>
            <w:r w:rsidRPr="000039A8">
              <w:t>otización P</w:t>
            </w:r>
            <w:r w:rsidRPr="0097600C">
              <w:t>rincipal</w:t>
            </w:r>
          </w:p>
        </w:tc>
      </w:tr>
      <w:tr w:rsidR="00036D35" w:rsidRPr="0097600C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Correo electrónico de la empresa</w:t>
            </w:r>
          </w:p>
        </w:tc>
      </w:tr>
      <w:tr w:rsidR="00036D35" w:rsidRPr="0097600C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lastRenderedPageBreak/>
              <w:t>Nombre del representante de la empresa</w:t>
            </w:r>
          </w:p>
        </w:tc>
      </w:tr>
      <w:tr w:rsidR="00036D35" w:rsidRPr="0097600C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DNI del representante de la empresa</w:t>
            </w:r>
          </w:p>
        </w:tc>
      </w:tr>
    </w:tbl>
    <w:p w:rsidR="00036D35" w:rsidRPr="00194640" w:rsidRDefault="00036D35" w:rsidP="00194640">
      <w:pPr>
        <w:jc w:val="both"/>
        <w:rPr>
          <w:rFonts w:asciiTheme="majorHAnsi" w:hAnsiTheme="majorHAnsi" w:cstheme="majorHAnsi"/>
          <w:b/>
        </w:rPr>
      </w:pP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Los campos de la segunda pestaña solo deben rellenar una vez y son todos obligatorios.</w:t>
      </w:r>
    </w:p>
    <w:p w:rsidR="00194640" w:rsidRPr="00194640" w:rsidRDefault="00194640" w:rsidP="00194640">
      <w:pPr>
        <w:jc w:val="both"/>
        <w:rPr>
          <w:rFonts w:asciiTheme="majorHAnsi" w:hAnsiTheme="majorHAnsi" w:cstheme="majorHAnsi"/>
          <w:b/>
        </w:rPr>
      </w:pPr>
    </w:p>
    <w:p w:rsidR="00194640" w:rsidRPr="00194640" w:rsidRDefault="00194640" w:rsidP="00194640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>TABLA CON LOS CÓDIGOS DE LAS AUTORIDADES LABORALES</w:t>
      </w:r>
    </w:p>
    <w:tbl>
      <w:tblPr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260"/>
      </w:tblGrid>
      <w:tr w:rsidR="00194640" w:rsidRPr="00194640" w:rsidTr="00433700">
        <w:trPr>
          <w:trHeight w:val="31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1F4E79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  <w:t>CODIGO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1F4E79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  <w:t>AUTORIDAD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Álava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Albacete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Alicante/Alacant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Almería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Ávila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Badajoz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Balears (Illes)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Barcelona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Burgos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Cáceres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Cádiz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Castellón/Castelló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Ciudad Real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Córdoba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Coruña (A)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Cuenca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Girona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Granada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Guadalajara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Guipúzcoa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Huelva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Huesca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Jaén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León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Lleida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Rioja (La)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Lugo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Madrid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Málaga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Murcia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Navarra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Ourense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Asturias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Palencia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Palmas (Las)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Pontevedra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Salamanca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lastRenderedPageBreak/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Santa Cruz de Tenerife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Cantabria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Segovia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Sevilla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Soria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Tarragona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Teruel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Toledo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Valencia/València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Valladolid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Vizcaya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Zamora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Zaragoza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Ceuta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Melilla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Andalucía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Aragón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Canarias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Castilla-La Mancha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Castilla y León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Cataluña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proofErr w:type="spellStart"/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Comunitat</w:t>
            </w:r>
            <w:proofErr w:type="spellEnd"/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 xml:space="preserve"> Valenciana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Extremadura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Galicia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País Vasco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Estatal</w:t>
            </w:r>
          </w:p>
        </w:tc>
      </w:tr>
    </w:tbl>
    <w:p w:rsidR="00194640" w:rsidRPr="00194640" w:rsidRDefault="00194640" w:rsidP="00194640">
      <w:pPr>
        <w:jc w:val="both"/>
        <w:rPr>
          <w:rFonts w:asciiTheme="majorHAnsi" w:hAnsiTheme="majorHAnsi" w:cstheme="majorHAnsi"/>
          <w:b/>
        </w:rPr>
      </w:pPr>
    </w:p>
    <w:p w:rsidR="00194640" w:rsidRPr="00071141" w:rsidRDefault="00194640" w:rsidP="00194640">
      <w:pPr>
        <w:jc w:val="both"/>
        <w:rPr>
          <w:rFonts w:asciiTheme="majorHAnsi" w:hAnsiTheme="majorHAnsi" w:cstheme="majorHAnsi"/>
          <w:b/>
        </w:rPr>
      </w:pPr>
      <w:r w:rsidRPr="00071141">
        <w:rPr>
          <w:rFonts w:asciiTheme="majorHAnsi" w:hAnsiTheme="majorHAnsi" w:cstheme="majorHAnsi"/>
          <w:b/>
        </w:rPr>
        <w:t>TABLA CON LOS CÓDIGOS DE LOS TIPOS DE ERTE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7000"/>
      </w:tblGrid>
      <w:tr w:rsidR="00194640" w:rsidRPr="00194640" w:rsidTr="00433700">
        <w:trPr>
          <w:trHeight w:val="345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1F4E79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  <w:t>CODIGO</w:t>
            </w:r>
          </w:p>
        </w:tc>
        <w:tc>
          <w:tcPr>
            <w:tcW w:w="70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1F4E79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  <w:t>AUTORIDAD</w:t>
            </w:r>
          </w:p>
        </w:tc>
      </w:tr>
      <w:tr w:rsidR="00194640" w:rsidRPr="00194640" w:rsidTr="00433700">
        <w:trPr>
          <w:trHeight w:val="402"/>
        </w:trPr>
        <w:tc>
          <w:tcPr>
            <w:tcW w:w="8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ERTE por IMPEDIMENTOS A LA ACTIVIDAD:</w:t>
            </w:r>
          </w:p>
        </w:tc>
      </w:tr>
      <w:tr w:rsidR="00194640" w:rsidRPr="00194640" w:rsidTr="00433700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 xml:space="preserve">ERTE por IMPEDIMENTOS. DA 1 del RDL 24/2020 </w:t>
            </w:r>
          </w:p>
        </w:tc>
      </w:tr>
      <w:tr w:rsidR="00194640" w:rsidRPr="00194640" w:rsidTr="00433700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 xml:space="preserve">ERTE por IMPEDIMENTOS. Art. 2.1 del RDL 30/2020 </w:t>
            </w:r>
          </w:p>
        </w:tc>
      </w:tr>
      <w:tr w:rsidR="00194640" w:rsidRPr="00194640" w:rsidTr="00433700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>ERTE por IMPEDIMENTOS. Art. 2 del RDL 2/2021.</w:t>
            </w:r>
          </w:p>
        </w:tc>
      </w:tr>
      <w:tr w:rsidR="00194640" w:rsidRPr="00194640" w:rsidTr="00433700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>ERTE por IMPEDIMENTOS. Art. 2 del RDL 11/2021.</w:t>
            </w:r>
          </w:p>
        </w:tc>
      </w:tr>
      <w:tr w:rsidR="00194640" w:rsidRPr="00194640" w:rsidTr="00433700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>ERTE por IMPEDIMENTOS. Autorizados a partir 1-10-2021.</w:t>
            </w:r>
          </w:p>
        </w:tc>
      </w:tr>
    </w:tbl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</w:p>
    <w:tbl>
      <w:tblPr>
        <w:tblW w:w="91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8719"/>
      </w:tblGrid>
      <w:tr w:rsidR="00194640" w:rsidRPr="00194640" w:rsidTr="00433700">
        <w:trPr>
          <w:trHeight w:val="402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ERTE por LIMITACIONES EN LA ACTIVIDAD:</w:t>
            </w:r>
          </w:p>
        </w:tc>
      </w:tr>
      <w:tr w:rsidR="00194640" w:rsidRPr="00194640" w:rsidTr="00433700">
        <w:trPr>
          <w:trHeight w:val="402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068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 xml:space="preserve">ERTE por LIMITACIONES. Art. 2.2 del RDL 30/2020 </w:t>
            </w:r>
          </w:p>
        </w:tc>
      </w:tr>
      <w:tr w:rsidR="00194640" w:rsidRPr="00194640" w:rsidTr="00433700">
        <w:trPr>
          <w:trHeight w:val="402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075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 xml:space="preserve">ERTE por LIMITACIONES. Art. 2 del RDL 2/2021. </w:t>
            </w:r>
          </w:p>
        </w:tc>
      </w:tr>
      <w:tr w:rsidR="00194640" w:rsidRPr="00194640" w:rsidTr="00433700">
        <w:trPr>
          <w:trHeight w:val="402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079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>ERTE por LIMITACIONES. Art. 2 del RDL 11/2021.</w:t>
            </w:r>
          </w:p>
        </w:tc>
      </w:tr>
      <w:tr w:rsidR="00194640" w:rsidRPr="00194640" w:rsidTr="00433700">
        <w:trPr>
          <w:trHeight w:val="402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lastRenderedPageBreak/>
              <w:t>084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>ERTE por LIMITACIONES. Autorizados a partir 1-10-2021.</w:t>
            </w:r>
          </w:p>
        </w:tc>
      </w:tr>
      <w:tr w:rsidR="00194640" w:rsidRPr="00194640" w:rsidTr="00433700">
        <w:trPr>
          <w:trHeight w:val="343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ERTE por FUERZA MAYOR:</w:t>
            </w:r>
          </w:p>
        </w:tc>
      </w:tr>
      <w:tr w:rsidR="00194640" w:rsidRPr="00194640" w:rsidTr="00433700">
        <w:trPr>
          <w:trHeight w:val="930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069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>ERTE por FUERZA MAYOR. Art. 22 del RDL 8/2020. Empresas pertenecientes a sectores con una elevada tasa de cobertura y una reducida tasa de recuperación de actividad, cuya actividad se clasifique en alguno de los códigos CNAE-09 previstos en el Anexo del 11/2021.</w:t>
            </w:r>
          </w:p>
        </w:tc>
      </w:tr>
      <w:tr w:rsidR="00194640" w:rsidRPr="00194640" w:rsidTr="00433700">
        <w:trPr>
          <w:trHeight w:val="973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070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>ERTE por FUERZA MAYOR. Art. 22 del RDL 8/2020. Empresas con declaración de CADENA DE VALOR o DEPENDIENTES, según el procedimiento al que se refiere la disposición adicional primera del Real Decreto-ley 30/2020, de las empresas con ERTE por FUERZA MAYOR 069.</w:t>
            </w:r>
          </w:p>
        </w:tc>
      </w:tr>
      <w:tr w:rsidR="00884EA3" w:rsidRPr="00194640" w:rsidTr="00433700">
        <w:trPr>
          <w:trHeight w:val="973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EA3" w:rsidRPr="00194640" w:rsidRDefault="00884EA3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091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4EA3" w:rsidRPr="00194640" w:rsidRDefault="00884EA3" w:rsidP="00433700">
            <w:pPr>
              <w:spacing w:after="0" w:line="240" w:lineRule="auto"/>
              <w:jc w:val="both"/>
              <w:rPr>
                <w:rFonts w:asciiTheme="majorHAnsi" w:eastAsia="Courier New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>ERTE por FUERZA MAYOR. Art. 22 del RDL 8/2020.</w:t>
            </w:r>
            <w:r>
              <w:rPr>
                <w:rFonts w:asciiTheme="majorHAnsi" w:eastAsia="Courier New" w:hAnsiTheme="majorHAnsi" w:cstheme="majorHAnsi"/>
                <w:lang w:eastAsia="es-ES"/>
              </w:rPr>
              <w:t xml:space="preserve"> Empresas no encuadradas en los dos epígrafes anteriores.</w:t>
            </w:r>
          </w:p>
        </w:tc>
      </w:tr>
      <w:tr w:rsidR="00194640" w:rsidRPr="00194640" w:rsidTr="00433700">
        <w:trPr>
          <w:trHeight w:val="758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ERTE por causas ETOP –económicas, técnicas, organizativas o de producción- de empresas con CNAE-09 de los incluidos en el Anexo del Real Decreto-ley 11/2021:</w:t>
            </w:r>
          </w:p>
        </w:tc>
      </w:tr>
      <w:tr w:rsidR="00194640" w:rsidRPr="00194640" w:rsidTr="00433700">
        <w:trPr>
          <w:trHeight w:val="300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b/>
                <w:bCs/>
                <w:lang w:eastAsia="es-ES"/>
              </w:rPr>
              <w:t>ERTE ETOP. Real Decreto-ley 24/2020:</w:t>
            </w:r>
          </w:p>
        </w:tc>
      </w:tr>
      <w:tr w:rsidR="00194640" w:rsidRPr="00194640" w:rsidTr="00433700">
        <w:trPr>
          <w:trHeight w:val="702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072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lang w:eastAsia="es-ES"/>
              </w:rPr>
              <w:t>ERTE ETOP. Empresas que disponían de este tipo de ERTE desde la vigencia del Real Decreto-ley 24/2020.</w:t>
            </w:r>
          </w:p>
        </w:tc>
      </w:tr>
      <w:tr w:rsidR="00194640" w:rsidRPr="00194640" w:rsidTr="00433700">
        <w:trPr>
          <w:trHeight w:val="300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b/>
                <w:bCs/>
                <w:lang w:eastAsia="es-ES"/>
              </w:rPr>
              <w:t xml:space="preserve"> ERTE ETOP. Empresas por CNAE-09: </w:t>
            </w:r>
          </w:p>
        </w:tc>
      </w:tr>
      <w:tr w:rsidR="00194640" w:rsidRPr="00194640" w:rsidTr="00433700">
        <w:trPr>
          <w:trHeight w:val="702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071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lang w:eastAsia="es-ES"/>
              </w:rPr>
              <w:t>ERTE ETOP. Empresas que hayan transitado, entre 1-10-2020 y 31-1-2021, desde un ERTE por FUERZA MAYOR a un ETOP.</w:t>
            </w:r>
          </w:p>
        </w:tc>
      </w:tr>
      <w:tr w:rsidR="00194640" w:rsidRPr="00194640" w:rsidTr="00433700">
        <w:trPr>
          <w:trHeight w:val="702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076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lang w:eastAsia="es-ES"/>
              </w:rPr>
              <w:t>ERTE ETOP. Empresas que hayan transitado entre 1-2-2021 y 31-5-2021, desde un ERTE por FUERZA MAYOR a un ETOP.</w:t>
            </w:r>
          </w:p>
        </w:tc>
      </w:tr>
      <w:tr w:rsidR="00194640" w:rsidRPr="00194640" w:rsidTr="00433700">
        <w:trPr>
          <w:trHeight w:val="702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080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903D6D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eastAsia="Times New Roman"/>
              </w:rPr>
              <w:t xml:space="preserve">ERTE ETOP. Empresas que hayan transitado entre 1-6-2021 y </w:t>
            </w:r>
            <w:r>
              <w:rPr>
                <w:rFonts w:eastAsia="Times New Roman"/>
                <w:b/>
                <w:bCs/>
                <w:u w:val="single"/>
              </w:rPr>
              <w:t>31-10-2021</w:t>
            </w:r>
            <w:r>
              <w:rPr>
                <w:rFonts w:eastAsia="Times New Roman"/>
              </w:rPr>
              <w:t xml:space="preserve">, desde un ERTE por FUERZA MAYOR A UN </w:t>
            </w:r>
            <w:proofErr w:type="gramStart"/>
            <w:r>
              <w:rPr>
                <w:rFonts w:eastAsia="Times New Roman"/>
              </w:rPr>
              <w:t>ETOP.</w:t>
            </w:r>
            <w:r w:rsidR="00194640" w:rsidRPr="00194640">
              <w:rPr>
                <w:rFonts w:asciiTheme="majorHAnsi" w:eastAsia="Times New Roman" w:hAnsiTheme="majorHAnsi" w:cstheme="majorHAnsi"/>
                <w:lang w:eastAsia="es-ES"/>
              </w:rPr>
              <w:t>.</w:t>
            </w:r>
            <w:proofErr w:type="gramEnd"/>
            <w:r w:rsidR="00194640" w:rsidRPr="00194640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</w:p>
        </w:tc>
      </w:tr>
      <w:tr w:rsidR="00194640" w:rsidRPr="00194640" w:rsidTr="00433700">
        <w:trPr>
          <w:trHeight w:val="702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085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903D6D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eastAsia="Times New Roman"/>
              </w:rPr>
              <w:t xml:space="preserve">ERTE ETOP. Empresas que transiten entre </w:t>
            </w:r>
            <w:r>
              <w:rPr>
                <w:rFonts w:eastAsia="Times New Roman"/>
                <w:b/>
                <w:bCs/>
                <w:u w:val="single"/>
              </w:rPr>
              <w:t>1-11-2021 y 28-02-2022</w:t>
            </w:r>
            <w:r>
              <w:rPr>
                <w:rFonts w:eastAsia="Times New Roman"/>
              </w:rPr>
              <w:t>, desde un ERTE por FUERZA MAYOR a un ETOP.</w:t>
            </w:r>
          </w:p>
        </w:tc>
      </w:tr>
      <w:tr w:rsidR="00194640" w:rsidRPr="00194640" w:rsidTr="00884EA3">
        <w:trPr>
          <w:trHeight w:val="880"/>
        </w:trPr>
        <w:tc>
          <w:tcPr>
            <w:tcW w:w="91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b/>
                <w:bCs/>
                <w:lang w:eastAsia="es-ES"/>
              </w:rPr>
              <w:t xml:space="preserve">ERTE ETOP. Empresas con declaración de CADENA DE VALOR o DEPENDIENTES, según el procedimiento al que se refiere la disposición adicional primera del Real Decreto-ley 30/2020, de las empresas con ERTE por FUERZA MAYOR 069: </w:t>
            </w:r>
          </w:p>
        </w:tc>
      </w:tr>
      <w:tr w:rsidR="00194640" w:rsidRPr="00194640" w:rsidTr="00884EA3">
        <w:trPr>
          <w:trHeight w:val="702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073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lang w:eastAsia="es-ES"/>
              </w:rPr>
              <w:t>ERTE ETOP. Empresas que hayan transitado, entre 1-10-2020 y 31-1-2021, desde un ERTE FUERZA MAYOR a un ETOP.</w:t>
            </w:r>
          </w:p>
        </w:tc>
      </w:tr>
      <w:tr w:rsidR="00194640" w:rsidRPr="00194640" w:rsidTr="00884EA3">
        <w:trPr>
          <w:trHeight w:val="702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077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lang w:eastAsia="es-ES"/>
              </w:rPr>
              <w:t>ERTE ETOP. Empresas que hayan transitado, entre 1-2-2021 y 31-5-2021, desde un ERTE FUERZA MAYOR a un ETOP.</w:t>
            </w:r>
          </w:p>
        </w:tc>
      </w:tr>
      <w:tr w:rsidR="00194640" w:rsidRPr="00194640" w:rsidTr="00884EA3">
        <w:trPr>
          <w:trHeight w:val="702"/>
        </w:trPr>
        <w:tc>
          <w:tcPr>
            <w:tcW w:w="47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081</w:t>
            </w:r>
          </w:p>
        </w:tc>
        <w:tc>
          <w:tcPr>
            <w:tcW w:w="871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903D6D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eastAsia="Times New Roman"/>
              </w:rPr>
              <w:t>ERTE ETOP. Empresas que hayan transitado entre 1-6-2021 y </w:t>
            </w:r>
            <w:r>
              <w:rPr>
                <w:rFonts w:eastAsia="Times New Roman"/>
                <w:b/>
                <w:bCs/>
                <w:u w:val="single"/>
              </w:rPr>
              <w:t>31-10-2021</w:t>
            </w:r>
            <w:r>
              <w:rPr>
                <w:rFonts w:eastAsia="Times New Roman"/>
              </w:rPr>
              <w:t>, desde un ERTE por FUERZA MAYOR A UN ETOP</w:t>
            </w:r>
            <w:r w:rsidR="00194640" w:rsidRPr="00194640">
              <w:rPr>
                <w:rFonts w:asciiTheme="majorHAnsi" w:eastAsia="Times New Roman" w:hAnsiTheme="majorHAnsi" w:cstheme="majorHAnsi"/>
                <w:lang w:eastAsia="es-ES"/>
              </w:rPr>
              <w:t>.</w:t>
            </w:r>
          </w:p>
        </w:tc>
      </w:tr>
      <w:tr w:rsidR="00194640" w:rsidRPr="00194640" w:rsidTr="00E25B09">
        <w:trPr>
          <w:trHeight w:val="702"/>
        </w:trPr>
        <w:tc>
          <w:tcPr>
            <w:tcW w:w="4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086</w:t>
            </w:r>
          </w:p>
        </w:tc>
        <w:tc>
          <w:tcPr>
            <w:tcW w:w="871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903D6D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eastAsia="Times New Roman"/>
              </w:rPr>
              <w:t>ERTE ETOP. Empresas que transiten entre </w:t>
            </w:r>
            <w:r>
              <w:rPr>
                <w:rFonts w:eastAsia="Times New Roman"/>
                <w:b/>
                <w:bCs/>
                <w:u w:val="single"/>
              </w:rPr>
              <w:t>1-11-2021 y 28-02-2022</w:t>
            </w:r>
            <w:r>
              <w:rPr>
                <w:rFonts w:eastAsia="Times New Roman"/>
              </w:rPr>
              <w:t>, desde un ERTE FUERZA MAYOR a un ETOP.</w:t>
            </w:r>
            <w:r w:rsidR="00194640" w:rsidRPr="00194640">
              <w:rPr>
                <w:rFonts w:asciiTheme="majorHAnsi" w:eastAsia="Times New Roman" w:hAnsiTheme="majorHAnsi" w:cstheme="majorHAnsi"/>
                <w:lang w:eastAsia="es-ES"/>
              </w:rPr>
              <w:t>.</w:t>
            </w:r>
          </w:p>
        </w:tc>
      </w:tr>
      <w:tr w:rsidR="00884EA3" w:rsidRPr="00194640" w:rsidTr="00E25B09">
        <w:trPr>
          <w:trHeight w:val="702"/>
        </w:trPr>
        <w:tc>
          <w:tcPr>
            <w:tcW w:w="919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4EA3" w:rsidRPr="00884EA3" w:rsidRDefault="00884EA3" w:rsidP="00884EA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ERTE ETOP. Artículo 23 del Real Decreto Ley 8/2020. Empresas no incluidas en los ERTE ETOP de los apartados anteriores </w:t>
            </w:r>
          </w:p>
        </w:tc>
      </w:tr>
      <w:tr w:rsidR="00884EA3" w:rsidRPr="00194640" w:rsidTr="00E25B09">
        <w:trPr>
          <w:trHeight w:val="702"/>
        </w:trPr>
        <w:tc>
          <w:tcPr>
            <w:tcW w:w="4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EA3" w:rsidRPr="00194640" w:rsidRDefault="00E25B09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092</w:t>
            </w:r>
          </w:p>
        </w:tc>
        <w:tc>
          <w:tcPr>
            <w:tcW w:w="871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4EA3" w:rsidRPr="00E25B09" w:rsidRDefault="00E25B09" w:rsidP="0043370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E25B09">
              <w:rPr>
                <w:rFonts w:eastAsia="Times New Roman"/>
              </w:rPr>
              <w:t>ERTE ETOP. Artículo 23 del Real Decreto Ley 8/2020. Empresas no incluidas en los ERTE ETOP de los apartados anteriores</w:t>
            </w:r>
          </w:p>
        </w:tc>
      </w:tr>
    </w:tbl>
    <w:p w:rsidR="006755E4" w:rsidRDefault="006755E4">
      <w:bookmarkStart w:id="0" w:name="_GoBack"/>
      <w:bookmarkEnd w:id="0"/>
    </w:p>
    <w:sectPr w:rsidR="00675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5C2"/>
    <w:multiLevelType w:val="hybridMultilevel"/>
    <w:tmpl w:val="D3D8AB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E737C"/>
    <w:multiLevelType w:val="hybridMultilevel"/>
    <w:tmpl w:val="46CC75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E4"/>
    <w:rsid w:val="00036D35"/>
    <w:rsid w:val="00071141"/>
    <w:rsid w:val="00194640"/>
    <w:rsid w:val="00235AA3"/>
    <w:rsid w:val="00347AC7"/>
    <w:rsid w:val="00350F3A"/>
    <w:rsid w:val="003E7784"/>
    <w:rsid w:val="00415CEA"/>
    <w:rsid w:val="004465F4"/>
    <w:rsid w:val="0049302D"/>
    <w:rsid w:val="004A12DD"/>
    <w:rsid w:val="0061030B"/>
    <w:rsid w:val="006755E4"/>
    <w:rsid w:val="007479EE"/>
    <w:rsid w:val="00884EA3"/>
    <w:rsid w:val="008B4E38"/>
    <w:rsid w:val="00903D6D"/>
    <w:rsid w:val="009911A0"/>
    <w:rsid w:val="00A41E10"/>
    <w:rsid w:val="00AE3C8A"/>
    <w:rsid w:val="00AE701A"/>
    <w:rsid w:val="00BC1D12"/>
    <w:rsid w:val="00CC4010"/>
    <w:rsid w:val="00E25B09"/>
    <w:rsid w:val="00E61C4A"/>
    <w:rsid w:val="00EE13BA"/>
    <w:rsid w:val="00F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768E"/>
  <w15:chartTrackingRefBased/>
  <w15:docId w15:val="{8CD4937D-7334-4B23-9229-BF59007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0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46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464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E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36D3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es.gob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expinterweb.mites.gob.es/ley11/inicio/elegirTramite.action?tramiteSel=4&amp;procedimientoSel=342&amp;proc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pinterweb.mites.gob.es/ley11/inicio/showTramites.action?procedimientoSel=342&amp;proc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7E4F-4647-410B-834B-854DEA39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1791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HURTADO, JUAN MANUEL</dc:creator>
  <cp:keywords/>
  <dc:description/>
  <cp:lastModifiedBy>PARADA COVELA, ALBA</cp:lastModifiedBy>
  <cp:revision>7</cp:revision>
  <dcterms:created xsi:type="dcterms:W3CDTF">2021-10-18T07:58:00Z</dcterms:created>
  <dcterms:modified xsi:type="dcterms:W3CDTF">2021-12-23T11:55:00Z</dcterms:modified>
</cp:coreProperties>
</file>