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F0909" w14:textId="77777777" w:rsidR="00873D06" w:rsidRPr="00ED133C" w:rsidRDefault="00873D06" w:rsidP="00E72005">
      <w:pPr>
        <w:keepNext/>
        <w:spacing w:after="240"/>
        <w:rPr>
          <w:rFonts w:ascii="Arial" w:hAnsi="Arial" w:cs="Arial"/>
          <w:b/>
          <w:color w:val="FF0000"/>
          <w:szCs w:val="28"/>
        </w:rPr>
      </w:pPr>
      <w:bookmarkStart w:id="0" w:name="_Hlk126047407"/>
      <w:bookmarkStart w:id="1" w:name="RANGE!A1:G36"/>
      <w:bookmarkEnd w:id="0"/>
    </w:p>
    <w:p w14:paraId="5E6A82D2" w14:textId="77777777" w:rsidR="00430ED4" w:rsidRPr="00ED133C" w:rsidRDefault="00430ED4" w:rsidP="00E72005">
      <w:pPr>
        <w:keepNext/>
        <w:spacing w:after="240"/>
        <w:rPr>
          <w:rFonts w:ascii="Arial" w:hAnsi="Arial" w:cs="Arial"/>
          <w:b/>
          <w:color w:val="808080"/>
          <w:szCs w:val="28"/>
        </w:rPr>
      </w:pPr>
    </w:p>
    <w:p w14:paraId="3729A95A" w14:textId="77777777" w:rsidR="00873D06" w:rsidRPr="00ED133C" w:rsidRDefault="00873D06" w:rsidP="00E72005">
      <w:pPr>
        <w:keepNext/>
        <w:spacing w:after="240"/>
        <w:rPr>
          <w:rFonts w:ascii="Arial" w:hAnsi="Arial" w:cs="Arial"/>
          <w:b/>
          <w:color w:val="808080"/>
          <w:szCs w:val="28"/>
        </w:rPr>
      </w:pPr>
    </w:p>
    <w:p w14:paraId="02CC4126" w14:textId="77777777" w:rsidR="00873D06" w:rsidRPr="00ED133C" w:rsidRDefault="00873D06" w:rsidP="00E72005">
      <w:pPr>
        <w:keepNext/>
        <w:spacing w:after="240"/>
        <w:rPr>
          <w:rFonts w:ascii="Arial" w:hAnsi="Arial" w:cs="Arial"/>
          <w:b/>
          <w:color w:val="808080"/>
          <w:szCs w:val="28"/>
        </w:rPr>
      </w:pPr>
    </w:p>
    <w:p w14:paraId="70EBEF52" w14:textId="77777777" w:rsidR="00873D06" w:rsidRPr="00ED133C" w:rsidRDefault="00873D06" w:rsidP="00E72005">
      <w:pPr>
        <w:keepNext/>
        <w:spacing w:after="240"/>
        <w:rPr>
          <w:rFonts w:ascii="Arial" w:hAnsi="Arial" w:cs="Arial"/>
          <w:b/>
          <w:color w:val="808080"/>
          <w:szCs w:val="28"/>
        </w:rPr>
      </w:pPr>
    </w:p>
    <w:p w14:paraId="2649168D" w14:textId="77777777" w:rsidR="00873D06" w:rsidRPr="00ED133C" w:rsidRDefault="00873D06" w:rsidP="00E72005">
      <w:pPr>
        <w:keepNext/>
        <w:spacing w:after="240"/>
        <w:rPr>
          <w:rFonts w:ascii="Arial" w:hAnsi="Arial" w:cs="Arial"/>
          <w:b/>
          <w:color w:val="808080"/>
          <w:szCs w:val="28"/>
        </w:rPr>
      </w:pPr>
    </w:p>
    <w:p w14:paraId="5CF2F012" w14:textId="77777777" w:rsidR="00873D06" w:rsidRPr="00ED133C" w:rsidRDefault="00873D06" w:rsidP="00E72005">
      <w:pPr>
        <w:keepNext/>
        <w:spacing w:after="240"/>
        <w:rPr>
          <w:rFonts w:ascii="Arial" w:hAnsi="Arial" w:cs="Arial"/>
          <w:b/>
          <w:color w:val="808080"/>
          <w:szCs w:val="28"/>
        </w:rPr>
      </w:pPr>
    </w:p>
    <w:p w14:paraId="6EF0BC00" w14:textId="77777777" w:rsidR="00E72005" w:rsidRPr="00972942" w:rsidRDefault="00873D06" w:rsidP="000F6E1E">
      <w:pPr>
        <w:keepNext/>
        <w:pBdr>
          <w:top w:val="single" w:sz="4" w:space="1" w:color="auto"/>
          <w:left w:val="single" w:sz="4" w:space="4" w:color="auto"/>
          <w:bottom w:val="single" w:sz="4" w:space="1" w:color="auto"/>
          <w:right w:val="single" w:sz="4" w:space="4" w:color="auto"/>
        </w:pBdr>
        <w:spacing w:after="240"/>
        <w:jc w:val="center"/>
        <w:rPr>
          <w:rFonts w:ascii="Arial" w:hAnsi="Arial" w:cs="Arial"/>
          <w:b/>
          <w:color w:val="000000"/>
          <w:szCs w:val="28"/>
        </w:rPr>
      </w:pPr>
      <w:r w:rsidRPr="00014623">
        <w:rPr>
          <w:rFonts w:ascii="Arial" w:hAnsi="Arial" w:cs="Arial"/>
          <w:b/>
          <w:color w:val="000000"/>
          <w:szCs w:val="28"/>
        </w:rPr>
        <w:t>MEMORIA DE</w:t>
      </w:r>
      <w:r w:rsidR="00255FDB" w:rsidRPr="00972942">
        <w:rPr>
          <w:rFonts w:ascii="Arial" w:hAnsi="Arial" w:cs="Arial"/>
          <w:b/>
          <w:color w:val="000000"/>
          <w:szCs w:val="28"/>
        </w:rPr>
        <w:t>L</w:t>
      </w:r>
      <w:r w:rsidRPr="00972942">
        <w:rPr>
          <w:rFonts w:ascii="Arial" w:hAnsi="Arial" w:cs="Arial"/>
          <w:b/>
          <w:color w:val="000000"/>
          <w:szCs w:val="28"/>
        </w:rPr>
        <w:t xml:space="preserve"> ANÁLISIS DE IMPACTO NORMATIVO</w:t>
      </w:r>
    </w:p>
    <w:p w14:paraId="2469478F" w14:textId="6FDFB6A8" w:rsidR="00873D06" w:rsidRPr="00000A79" w:rsidRDefault="00873D06" w:rsidP="000F6E1E">
      <w:pPr>
        <w:keepNext/>
        <w:pBdr>
          <w:top w:val="single" w:sz="4" w:space="1" w:color="auto"/>
          <w:left w:val="single" w:sz="4" w:space="4" w:color="auto"/>
          <w:bottom w:val="single" w:sz="4" w:space="1" w:color="auto"/>
          <w:right w:val="single" w:sz="4" w:space="4" w:color="auto"/>
        </w:pBdr>
        <w:spacing w:after="240"/>
        <w:jc w:val="center"/>
        <w:rPr>
          <w:rFonts w:ascii="Arial" w:hAnsi="Arial" w:cs="Arial"/>
          <w:b/>
          <w:color w:val="000000"/>
          <w:szCs w:val="28"/>
        </w:rPr>
      </w:pPr>
      <w:r w:rsidRPr="00972942">
        <w:rPr>
          <w:rFonts w:ascii="Arial" w:hAnsi="Arial" w:cs="Arial"/>
          <w:b/>
          <w:color w:val="000000"/>
          <w:szCs w:val="28"/>
        </w:rPr>
        <w:t xml:space="preserve">PROYECTO DE REAL DECRETO POR EL QUE SE FIJA EL SALARIO MÍNIMO INTERPROFESIONAL PARA </w:t>
      </w:r>
      <w:r w:rsidR="004E1EC1" w:rsidRPr="00F84259">
        <w:rPr>
          <w:rFonts w:ascii="Arial" w:hAnsi="Arial" w:cs="Arial"/>
          <w:b/>
          <w:color w:val="000000"/>
          <w:szCs w:val="28"/>
        </w:rPr>
        <w:t>2024</w:t>
      </w:r>
    </w:p>
    <w:p w14:paraId="75EB00A7" w14:textId="77777777" w:rsidR="00873D06" w:rsidRPr="00ED133C" w:rsidRDefault="00873D06" w:rsidP="00873D06">
      <w:pPr>
        <w:keepNext/>
        <w:spacing w:after="240"/>
        <w:jc w:val="center"/>
        <w:rPr>
          <w:rFonts w:ascii="Arial" w:hAnsi="Arial" w:cs="Arial"/>
          <w:b/>
          <w:color w:val="000000"/>
          <w:szCs w:val="28"/>
        </w:rPr>
      </w:pPr>
    </w:p>
    <w:p w14:paraId="5385005A" w14:textId="77777777" w:rsidR="00873D06" w:rsidRPr="00ED133C" w:rsidRDefault="00873D06" w:rsidP="00873D06">
      <w:pPr>
        <w:keepNext/>
        <w:spacing w:after="240"/>
        <w:jc w:val="center"/>
        <w:rPr>
          <w:rFonts w:ascii="Arial" w:hAnsi="Arial" w:cs="Arial"/>
          <w:b/>
          <w:color w:val="000000"/>
          <w:szCs w:val="28"/>
        </w:rPr>
      </w:pPr>
    </w:p>
    <w:p w14:paraId="306B55F0" w14:textId="77777777" w:rsidR="00873D06" w:rsidRPr="00ED133C" w:rsidRDefault="00873D06" w:rsidP="00873D06">
      <w:pPr>
        <w:keepNext/>
        <w:spacing w:after="240"/>
        <w:jc w:val="center"/>
        <w:rPr>
          <w:rFonts w:ascii="Arial" w:hAnsi="Arial" w:cs="Arial"/>
          <w:b/>
          <w:color w:val="000000"/>
          <w:szCs w:val="28"/>
        </w:rPr>
      </w:pPr>
    </w:p>
    <w:p w14:paraId="20CC987A" w14:textId="77777777" w:rsidR="00873D06" w:rsidRPr="00ED133C" w:rsidRDefault="00873D06" w:rsidP="00873D06">
      <w:pPr>
        <w:keepNext/>
        <w:spacing w:after="240"/>
        <w:jc w:val="center"/>
        <w:rPr>
          <w:rFonts w:ascii="Arial" w:hAnsi="Arial" w:cs="Arial"/>
          <w:b/>
          <w:color w:val="000000"/>
          <w:szCs w:val="28"/>
        </w:rPr>
      </w:pPr>
    </w:p>
    <w:p w14:paraId="64025450" w14:textId="77777777" w:rsidR="00873D06" w:rsidRPr="00ED133C" w:rsidRDefault="00873D06" w:rsidP="00873D06">
      <w:pPr>
        <w:keepNext/>
        <w:spacing w:after="240"/>
        <w:jc w:val="center"/>
        <w:rPr>
          <w:rFonts w:ascii="Arial" w:hAnsi="Arial" w:cs="Arial"/>
          <w:b/>
          <w:color w:val="000000"/>
          <w:szCs w:val="28"/>
        </w:rPr>
      </w:pPr>
    </w:p>
    <w:p w14:paraId="486972A7" w14:textId="77777777" w:rsidR="00CE3991" w:rsidRPr="00ED133C" w:rsidRDefault="00CE3991" w:rsidP="00873D06">
      <w:pPr>
        <w:keepNext/>
        <w:spacing w:after="240"/>
        <w:jc w:val="center"/>
        <w:rPr>
          <w:rFonts w:ascii="Arial" w:hAnsi="Arial" w:cs="Arial"/>
          <w:b/>
          <w:color w:val="000000"/>
          <w:szCs w:val="28"/>
        </w:rPr>
      </w:pPr>
    </w:p>
    <w:p w14:paraId="10605899" w14:textId="77777777" w:rsidR="00873D06" w:rsidRPr="00ED133C" w:rsidRDefault="00873D06" w:rsidP="00873D06">
      <w:pPr>
        <w:keepNext/>
        <w:spacing w:after="240"/>
        <w:jc w:val="center"/>
        <w:rPr>
          <w:rFonts w:ascii="Arial" w:hAnsi="Arial" w:cs="Arial"/>
          <w:b/>
          <w:color w:val="000000"/>
          <w:szCs w:val="28"/>
        </w:rPr>
      </w:pPr>
    </w:p>
    <w:p w14:paraId="5B339695" w14:textId="38F918C5" w:rsidR="008D29CC" w:rsidRPr="00ED133C" w:rsidRDefault="002058ED" w:rsidP="000915E6">
      <w:pPr>
        <w:spacing w:before="0" w:after="0"/>
        <w:ind w:left="4248" w:firstLine="708"/>
        <w:jc w:val="left"/>
        <w:rPr>
          <w:rFonts w:ascii="Arial" w:hAnsi="Arial" w:cs="Arial"/>
          <w:b/>
          <w:bCs/>
          <w:szCs w:val="28"/>
        </w:rPr>
      </w:pPr>
      <w:r>
        <w:rPr>
          <w:rFonts w:ascii="Arial" w:hAnsi="Arial" w:cs="Arial"/>
          <w:b/>
          <w:bCs/>
          <w:szCs w:val="28"/>
        </w:rPr>
        <w:t>Enero de 2024</w:t>
      </w:r>
      <w:r w:rsidR="008D29CC" w:rsidRPr="00ED133C">
        <w:rPr>
          <w:rFonts w:ascii="Arial" w:hAnsi="Arial" w:cs="Arial"/>
          <w:b/>
          <w:bCs/>
          <w:szCs w:val="28"/>
        </w:rPr>
        <w:br w:type="page"/>
      </w:r>
    </w:p>
    <w:p w14:paraId="6524CA63" w14:textId="77777777" w:rsidR="002C24E9" w:rsidRPr="00ED133C" w:rsidRDefault="002C24E9" w:rsidP="00AE0970">
      <w:pPr>
        <w:spacing w:after="240"/>
        <w:ind w:left="3540" w:firstLine="708"/>
        <w:jc w:val="center"/>
        <w:rPr>
          <w:rFonts w:ascii="Arial" w:hAnsi="Arial" w:cs="Arial"/>
          <w:b/>
          <w:bCs/>
          <w:szCs w:val="28"/>
        </w:rPr>
      </w:pPr>
    </w:p>
    <w:tbl>
      <w:tblPr>
        <w:tblW w:w="9105" w:type="dxa"/>
        <w:tblInd w:w="-8" w:type="dxa"/>
        <w:tblLayout w:type="fixed"/>
        <w:tblLook w:val="0000" w:firstRow="0" w:lastRow="0" w:firstColumn="0" w:lastColumn="0" w:noHBand="0" w:noVBand="0"/>
      </w:tblPr>
      <w:tblGrid>
        <w:gridCol w:w="3087"/>
        <w:gridCol w:w="2550"/>
        <w:gridCol w:w="161"/>
        <w:gridCol w:w="974"/>
        <w:gridCol w:w="2333"/>
      </w:tblGrid>
      <w:tr w:rsidR="00E00019" w:rsidRPr="00014623" w14:paraId="1B57659E" w14:textId="77777777" w:rsidTr="009D15D2">
        <w:trPr>
          <w:cantSplit/>
          <w:trHeight w:val="1096"/>
        </w:trPr>
        <w:tc>
          <w:tcPr>
            <w:tcW w:w="3087" w:type="dxa"/>
            <w:tcBorders>
              <w:top w:val="single" w:sz="32"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4F752642"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b/>
                <w:color w:val="auto"/>
                <w:sz w:val="28"/>
                <w:szCs w:val="28"/>
              </w:rPr>
            </w:pPr>
            <w:r w:rsidRPr="00ED133C">
              <w:rPr>
                <w:rFonts w:ascii="Arial" w:hAnsi="Arial" w:cs="Arial"/>
                <w:b/>
                <w:color w:val="auto"/>
                <w:sz w:val="28"/>
                <w:szCs w:val="28"/>
              </w:rPr>
              <w:t>Ministerio/Órgano proponente</w:t>
            </w:r>
          </w:p>
        </w:tc>
        <w:tc>
          <w:tcPr>
            <w:tcW w:w="2550" w:type="dxa"/>
            <w:tcBorders>
              <w:top w:val="single" w:sz="32" w:space="0" w:color="000000"/>
              <w:left w:val="single" w:sz="16" w:space="0" w:color="000000"/>
              <w:bottom w:val="single" w:sz="16" w:space="0" w:color="000000"/>
              <w:right w:val="single" w:sz="2" w:space="0" w:color="000000"/>
            </w:tcBorders>
            <w:shd w:val="clear" w:color="auto" w:fill="EEFFEB"/>
            <w:tcMar>
              <w:top w:w="100" w:type="dxa"/>
              <w:left w:w="100" w:type="dxa"/>
              <w:bottom w:w="100" w:type="dxa"/>
              <w:right w:w="100" w:type="dxa"/>
            </w:tcMar>
          </w:tcPr>
          <w:p w14:paraId="5C499A33" w14:textId="3EF09088" w:rsidR="00E00019" w:rsidRPr="00ED133C" w:rsidRDefault="006D00AF"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b/>
                <w:color w:val="auto"/>
                <w:sz w:val="28"/>
                <w:szCs w:val="28"/>
              </w:rPr>
            </w:pPr>
            <w:r w:rsidRPr="00ED133C">
              <w:rPr>
                <w:rFonts w:ascii="Arial" w:hAnsi="Arial" w:cs="Arial"/>
                <w:b/>
                <w:color w:val="auto"/>
                <w:sz w:val="28"/>
                <w:szCs w:val="28"/>
              </w:rPr>
              <w:t>Ministerio de Trabajo y Economía Social</w:t>
            </w:r>
          </w:p>
        </w:tc>
        <w:tc>
          <w:tcPr>
            <w:tcW w:w="1135" w:type="dxa"/>
            <w:gridSpan w:val="2"/>
            <w:tcBorders>
              <w:top w:val="single" w:sz="32" w:space="0" w:color="000000"/>
              <w:left w:val="single" w:sz="2" w:space="0" w:color="000000"/>
              <w:bottom w:val="single" w:sz="16" w:space="0" w:color="000000"/>
              <w:right w:val="single" w:sz="2" w:space="0" w:color="000000"/>
            </w:tcBorders>
            <w:shd w:val="clear" w:color="auto" w:fill="E3DFA6"/>
            <w:tcMar>
              <w:top w:w="100" w:type="dxa"/>
              <w:left w:w="100" w:type="dxa"/>
              <w:bottom w:w="100" w:type="dxa"/>
              <w:right w:w="100" w:type="dxa"/>
            </w:tcMar>
          </w:tcPr>
          <w:p w14:paraId="0EAD89C5" w14:textId="77777777" w:rsidR="00E00019" w:rsidRPr="00ED133C" w:rsidRDefault="00E00019" w:rsidP="00C64E28">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rPr>
                <w:rFonts w:ascii="Arial" w:hAnsi="Arial" w:cs="Arial"/>
                <w:b/>
                <w:color w:val="auto"/>
                <w:sz w:val="28"/>
                <w:szCs w:val="28"/>
              </w:rPr>
            </w:pPr>
            <w:r w:rsidRPr="00ED133C">
              <w:rPr>
                <w:rFonts w:ascii="Arial" w:hAnsi="Arial" w:cs="Arial"/>
                <w:b/>
                <w:color w:val="auto"/>
                <w:sz w:val="28"/>
                <w:szCs w:val="28"/>
              </w:rPr>
              <w:t>Fecha</w:t>
            </w:r>
          </w:p>
        </w:tc>
        <w:tc>
          <w:tcPr>
            <w:tcW w:w="2333" w:type="dxa"/>
            <w:tcBorders>
              <w:top w:val="single" w:sz="32" w:space="0" w:color="000000"/>
              <w:left w:val="single" w:sz="2"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28B0BFB" w14:textId="243B4DF9" w:rsidR="00E00019" w:rsidRPr="00ED133C" w:rsidRDefault="009D15D2" w:rsidP="004D6CD8">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s>
              <w:rPr>
                <w:rFonts w:ascii="Arial" w:hAnsi="Arial" w:cs="Arial"/>
                <w:b/>
                <w:color w:val="auto"/>
                <w:sz w:val="28"/>
                <w:szCs w:val="28"/>
              </w:rPr>
            </w:pPr>
            <w:r w:rsidRPr="002058ED">
              <w:rPr>
                <w:rFonts w:ascii="Arial" w:hAnsi="Arial" w:cs="Arial"/>
                <w:b/>
                <w:color w:val="auto"/>
                <w:sz w:val="28"/>
                <w:szCs w:val="28"/>
              </w:rPr>
              <w:t>Enero</w:t>
            </w:r>
            <w:r w:rsidR="006B44A8" w:rsidRPr="002058ED">
              <w:rPr>
                <w:rFonts w:ascii="Arial" w:hAnsi="Arial" w:cs="Arial"/>
                <w:b/>
                <w:color w:val="auto"/>
                <w:sz w:val="28"/>
                <w:szCs w:val="28"/>
              </w:rPr>
              <w:t xml:space="preserve"> de 202</w:t>
            </w:r>
            <w:r w:rsidRPr="002058ED">
              <w:rPr>
                <w:rFonts w:ascii="Arial" w:hAnsi="Arial" w:cs="Arial"/>
                <w:b/>
                <w:color w:val="auto"/>
                <w:sz w:val="28"/>
                <w:szCs w:val="28"/>
              </w:rPr>
              <w:t>4</w:t>
            </w:r>
          </w:p>
        </w:tc>
      </w:tr>
      <w:tr w:rsidR="00E00019" w:rsidRPr="00014623" w14:paraId="6FC09D50" w14:textId="77777777" w:rsidTr="003E39D6">
        <w:trPr>
          <w:cantSplit/>
          <w:trHeight w:val="300"/>
        </w:trPr>
        <w:tc>
          <w:tcPr>
            <w:tcW w:w="308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2E2122E"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b/>
                <w:color w:val="auto"/>
                <w:sz w:val="28"/>
                <w:szCs w:val="28"/>
              </w:rPr>
            </w:pPr>
            <w:r w:rsidRPr="00ED133C">
              <w:rPr>
                <w:rFonts w:ascii="Arial" w:hAnsi="Arial" w:cs="Arial"/>
                <w:b/>
                <w:color w:val="auto"/>
                <w:sz w:val="28"/>
                <w:szCs w:val="28"/>
              </w:rPr>
              <w:t>Título de la norma</w:t>
            </w:r>
          </w:p>
        </w:tc>
        <w:tc>
          <w:tcPr>
            <w:tcW w:w="6018"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5E00F88" w14:textId="6D19095E" w:rsidR="00E00019" w:rsidRPr="00ED133C" w:rsidRDefault="006D00AF" w:rsidP="003B7C72">
            <w:pPr>
              <w:pStyle w:val="COVERPAGE"/>
              <w:tabs>
                <w:tab w:val="clear" w:pos="1418"/>
              </w:tabs>
              <w:spacing w:before="120" w:after="120" w:line="312" w:lineRule="auto"/>
              <w:rPr>
                <w:rFonts w:cs="Arial"/>
                <w:sz w:val="28"/>
                <w:szCs w:val="28"/>
              </w:rPr>
            </w:pPr>
            <w:r w:rsidRPr="00ED133C">
              <w:rPr>
                <w:rFonts w:cs="Arial"/>
                <w:b w:val="0"/>
                <w:bCs/>
                <w:sz w:val="28"/>
                <w:szCs w:val="28"/>
              </w:rPr>
              <w:t xml:space="preserve">Proyecto de Real Decreto por el que se fija el salario mínimo interprofesional para </w:t>
            </w:r>
            <w:r w:rsidR="004E1EC1" w:rsidRPr="00F84259">
              <w:rPr>
                <w:rFonts w:cs="Arial"/>
                <w:b w:val="0"/>
                <w:bCs/>
                <w:sz w:val="28"/>
                <w:szCs w:val="28"/>
              </w:rPr>
              <w:t>2024</w:t>
            </w:r>
          </w:p>
        </w:tc>
      </w:tr>
      <w:tr w:rsidR="00E00019" w:rsidRPr="00014623" w14:paraId="7413E94F" w14:textId="77777777" w:rsidTr="003E39D6">
        <w:trPr>
          <w:cantSplit/>
          <w:trHeight w:val="340"/>
        </w:trPr>
        <w:tc>
          <w:tcPr>
            <w:tcW w:w="308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4B5FECCA"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b/>
                <w:color w:val="auto"/>
                <w:sz w:val="28"/>
                <w:szCs w:val="28"/>
              </w:rPr>
            </w:pPr>
            <w:r w:rsidRPr="00ED133C">
              <w:rPr>
                <w:rFonts w:ascii="Arial" w:hAnsi="Arial" w:cs="Arial"/>
                <w:b/>
                <w:color w:val="auto"/>
                <w:sz w:val="28"/>
                <w:szCs w:val="28"/>
              </w:rPr>
              <w:t>Tipo de Memoria</w:t>
            </w:r>
          </w:p>
        </w:tc>
        <w:tc>
          <w:tcPr>
            <w:tcW w:w="6018"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A0BDC6C"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right"/>
              <w:rPr>
                <w:rFonts w:ascii="Arial" w:hAnsi="Arial" w:cs="Arial"/>
                <w:color w:val="auto"/>
                <w:sz w:val="28"/>
                <w:szCs w:val="28"/>
              </w:rPr>
            </w:pPr>
            <w:r w:rsidRPr="00ED133C">
              <w:rPr>
                <w:rFonts w:ascii="Arial" w:hAnsi="Arial" w:cs="Arial"/>
                <w:color w:val="auto"/>
                <w:sz w:val="28"/>
                <w:szCs w:val="28"/>
              </w:rPr>
              <w:t xml:space="preserve">Normal      </w:t>
            </w:r>
            <w:r w:rsidR="00F840B1" w:rsidRPr="00ED133C">
              <w:rPr>
                <w:rFonts w:ascii="Arial" w:hAnsi="Arial" w:cs="Arial"/>
                <w:noProof/>
                <w:color w:val="auto"/>
                <w:sz w:val="28"/>
                <w:szCs w:val="28"/>
                <w:lang w:val="es-ES" w:eastAsia="es-ES"/>
              </w:rPr>
              <mc:AlternateContent>
                <mc:Choice Requires="wps">
                  <w:drawing>
                    <wp:inline distT="0" distB="0" distL="0" distR="0" wp14:anchorId="38B69CB3" wp14:editId="50A64C94">
                      <wp:extent cx="132080" cy="142240"/>
                      <wp:effectExtent l="9525" t="9525" r="10795" b="10160"/>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solidFill>
                                <a:srgbClr val="000000"/>
                              </a:solidFill>
                              <a:ln w="12700">
                                <a:solidFill>
                                  <a:srgbClr val="000000"/>
                                </a:solidFill>
                                <a:miter lim="800000"/>
                                <a:headEnd/>
                                <a:tailEnd/>
                              </a:ln>
                            </wps:spPr>
                            <wps:txbx>
                              <w:txbxContent>
                                <w:p w14:paraId="3228F286" w14:textId="77777777" w:rsidR="00C05533" w:rsidRDefault="00C05533" w:rsidP="00E00019">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38B69CB3" id="Rectangle 17" o:spid="_x0000_s1026"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" fillcolor="black" strokeweight="1pt">
                      <v:path arrowok="t"/>
                      <v:textbox inset="8pt,8pt,8pt,8pt">
                        <w:txbxContent>
                          <w:p w14:paraId="3228F286" w14:textId="77777777" w:rsidR="00C05533" w:rsidRDefault="00C05533" w:rsidP="00E00019">
                            <w:pPr>
                              <w:pStyle w:val="Formatolibre"/>
                              <w:rPr>
                                <w:rFonts w:ascii="Times New Roman" w:hAnsi="Times New Roman"/>
                                <w:noProof/>
                                <w:color w:val="auto"/>
                                <w:sz w:val="20"/>
                                <w:lang w:val="es-ES" w:eastAsia="es-ES"/>
                              </w:rPr>
                            </w:pPr>
                          </w:p>
                        </w:txbxContent>
                      </v:textbox>
                      <w10:anchorlock/>
                    </v:rect>
                  </w:pict>
                </mc:Fallback>
              </mc:AlternateContent>
            </w:r>
            <w:r w:rsidRPr="00ED133C">
              <w:rPr>
                <w:rFonts w:ascii="Arial" w:hAnsi="Arial" w:cs="Arial"/>
                <w:color w:val="auto"/>
                <w:sz w:val="28"/>
                <w:szCs w:val="28"/>
              </w:rPr>
              <w:t xml:space="preserve">                Abreviada </w:t>
            </w:r>
            <w:r w:rsidR="00F840B1" w:rsidRPr="00ED133C">
              <w:rPr>
                <w:rFonts w:ascii="Arial" w:hAnsi="Arial" w:cs="Arial"/>
                <w:noProof/>
                <w:color w:val="auto"/>
                <w:sz w:val="28"/>
                <w:szCs w:val="28"/>
                <w:lang w:val="es-ES" w:eastAsia="es-ES"/>
              </w:rPr>
              <mc:AlternateContent>
                <mc:Choice Requires="wps">
                  <w:drawing>
                    <wp:inline distT="0" distB="0" distL="0" distR="0" wp14:anchorId="16D4A388" wp14:editId="7692631B">
                      <wp:extent cx="132080" cy="142240"/>
                      <wp:effectExtent l="9525" t="9525" r="10795" b="10160"/>
                      <wp:docPr id="1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solidFill>
                                <a:srgbClr val="FFFFFF">
                                  <a:alpha val="0"/>
                                </a:srgbClr>
                              </a:solidFill>
                              <a:ln w="9525">
                                <a:solidFill>
                                  <a:srgbClr val="000000"/>
                                </a:solidFill>
                                <a:miter lim="800000"/>
                                <a:headEnd/>
                                <a:tailEnd/>
                              </a:ln>
                            </wps:spPr>
                            <wps:txbx>
                              <w:txbxContent>
                                <w:p w14:paraId="02DF67A4" w14:textId="77777777" w:rsidR="00C05533" w:rsidRDefault="00C05533" w:rsidP="00E00019">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16D4A388" id="Rectangle 30" o:spid="_x0000_s1027"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">
                      <v:fill opacity="0"/>
                      <v:path arrowok="t"/>
                      <v:textbox inset="8pt,8pt,8pt,8pt">
                        <w:txbxContent>
                          <w:p w14:paraId="02DF67A4" w14:textId="77777777" w:rsidR="00C05533" w:rsidRDefault="00C05533" w:rsidP="00E00019">
                            <w:pPr>
                              <w:pStyle w:val="Formatolibre"/>
                              <w:rPr>
                                <w:rFonts w:ascii="Times New Roman" w:hAnsi="Times New Roman"/>
                                <w:noProof/>
                                <w:color w:val="auto"/>
                                <w:sz w:val="20"/>
                                <w:lang w:val="es-ES" w:eastAsia="es-ES"/>
                              </w:rPr>
                            </w:pPr>
                          </w:p>
                        </w:txbxContent>
                      </v:textbox>
                      <w10:anchorlock/>
                    </v:rect>
                  </w:pict>
                </mc:Fallback>
              </mc:AlternateContent>
            </w:r>
          </w:p>
        </w:tc>
      </w:tr>
      <w:tr w:rsidR="00E00019" w:rsidRPr="00014623" w14:paraId="4C6D0F08" w14:textId="77777777" w:rsidTr="00C64E28">
        <w:trPr>
          <w:cantSplit/>
          <w:trHeight w:val="322"/>
        </w:trPr>
        <w:tc>
          <w:tcPr>
            <w:tcW w:w="9105" w:type="dxa"/>
            <w:gridSpan w:val="5"/>
            <w:tcBorders>
              <w:top w:val="single" w:sz="16" w:space="0" w:color="000000"/>
              <w:left w:val="single" w:sz="32" w:space="0" w:color="000000"/>
              <w:bottom w:val="single" w:sz="16" w:space="0" w:color="000000"/>
              <w:right w:val="single" w:sz="32" w:space="0" w:color="000000"/>
            </w:tcBorders>
            <w:shd w:val="clear" w:color="auto" w:fill="ECDF00"/>
            <w:tcMar>
              <w:top w:w="100" w:type="dxa"/>
              <w:left w:w="100" w:type="dxa"/>
              <w:bottom w:w="100" w:type="dxa"/>
              <w:right w:w="100" w:type="dxa"/>
            </w:tcMar>
          </w:tcPr>
          <w:p w14:paraId="3AEA5FE1"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Arial" w:hAnsi="Arial" w:cs="Arial"/>
                <w:b/>
                <w:color w:val="auto"/>
                <w:sz w:val="28"/>
                <w:szCs w:val="28"/>
              </w:rPr>
            </w:pPr>
            <w:r w:rsidRPr="00ED133C">
              <w:rPr>
                <w:rFonts w:ascii="Arial" w:hAnsi="Arial" w:cs="Arial"/>
                <w:b/>
                <w:color w:val="auto"/>
                <w:sz w:val="28"/>
                <w:szCs w:val="28"/>
              </w:rPr>
              <w:t>OPORTUNIDAD DE LA PROPUESTA</w:t>
            </w:r>
          </w:p>
        </w:tc>
      </w:tr>
      <w:tr w:rsidR="00E00019" w:rsidRPr="00014623" w14:paraId="7E4F137C" w14:textId="77777777" w:rsidTr="003E39D6">
        <w:trPr>
          <w:cantSplit/>
          <w:trHeight w:val="553"/>
        </w:trPr>
        <w:tc>
          <w:tcPr>
            <w:tcW w:w="308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EE68D03"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b/>
                <w:color w:val="auto"/>
                <w:sz w:val="28"/>
                <w:szCs w:val="28"/>
              </w:rPr>
            </w:pPr>
            <w:r w:rsidRPr="00ED133C">
              <w:rPr>
                <w:rFonts w:ascii="Arial" w:hAnsi="Arial" w:cs="Arial"/>
                <w:b/>
                <w:color w:val="auto"/>
                <w:sz w:val="28"/>
                <w:szCs w:val="28"/>
              </w:rPr>
              <w:t>Situación que se regula</w:t>
            </w:r>
          </w:p>
        </w:tc>
        <w:tc>
          <w:tcPr>
            <w:tcW w:w="6018"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DBC5D2B" w14:textId="7489568D" w:rsidR="00E00019" w:rsidRPr="00ED133C" w:rsidRDefault="00E00019" w:rsidP="00715200">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s="Arial"/>
                <w:color w:val="auto"/>
                <w:sz w:val="28"/>
                <w:szCs w:val="28"/>
              </w:rPr>
            </w:pPr>
            <w:r w:rsidRPr="00ED133C">
              <w:rPr>
                <w:rFonts w:ascii="Arial" w:hAnsi="Arial" w:cs="Arial"/>
                <w:color w:val="auto"/>
                <w:sz w:val="28"/>
                <w:szCs w:val="28"/>
              </w:rPr>
              <w:t xml:space="preserve">Establecimiento del salario mínimo interprofesional </w:t>
            </w:r>
            <w:r w:rsidR="00715200" w:rsidRPr="00ED133C">
              <w:rPr>
                <w:rFonts w:ascii="Arial" w:hAnsi="Arial" w:cs="Arial"/>
                <w:color w:val="auto"/>
                <w:sz w:val="28"/>
                <w:szCs w:val="28"/>
              </w:rPr>
              <w:t xml:space="preserve">(SMI) </w:t>
            </w:r>
            <w:r w:rsidRPr="00ED133C">
              <w:rPr>
                <w:rFonts w:ascii="Arial" w:hAnsi="Arial" w:cs="Arial"/>
                <w:color w:val="auto"/>
                <w:sz w:val="28"/>
                <w:szCs w:val="28"/>
              </w:rPr>
              <w:t xml:space="preserve">para el año </w:t>
            </w:r>
            <w:r w:rsidR="00265837" w:rsidRPr="00ED133C">
              <w:rPr>
                <w:rFonts w:ascii="Arial" w:hAnsi="Arial" w:cs="Arial"/>
                <w:color w:val="auto"/>
                <w:sz w:val="28"/>
                <w:szCs w:val="28"/>
              </w:rPr>
              <w:t>20</w:t>
            </w:r>
            <w:r w:rsidR="00010A26" w:rsidRPr="00ED133C">
              <w:rPr>
                <w:rFonts w:ascii="Arial" w:hAnsi="Arial" w:cs="Arial"/>
                <w:color w:val="auto"/>
                <w:sz w:val="28"/>
                <w:szCs w:val="28"/>
              </w:rPr>
              <w:t>2</w:t>
            </w:r>
            <w:r w:rsidR="004E1EC1">
              <w:rPr>
                <w:rFonts w:ascii="Arial" w:hAnsi="Arial" w:cs="Arial"/>
                <w:color w:val="auto"/>
                <w:sz w:val="28"/>
                <w:szCs w:val="28"/>
              </w:rPr>
              <w:t>4</w:t>
            </w:r>
          </w:p>
        </w:tc>
      </w:tr>
      <w:tr w:rsidR="00E00019" w:rsidRPr="00014623" w14:paraId="50199F24" w14:textId="77777777" w:rsidTr="003E39D6">
        <w:trPr>
          <w:cantSplit/>
          <w:trHeight w:val="581"/>
        </w:trPr>
        <w:tc>
          <w:tcPr>
            <w:tcW w:w="308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AAB6639"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b/>
                <w:color w:val="auto"/>
                <w:sz w:val="28"/>
                <w:szCs w:val="28"/>
              </w:rPr>
            </w:pPr>
            <w:r w:rsidRPr="00ED133C">
              <w:rPr>
                <w:rFonts w:ascii="Arial" w:hAnsi="Arial" w:cs="Arial"/>
                <w:b/>
                <w:color w:val="auto"/>
                <w:sz w:val="28"/>
                <w:szCs w:val="28"/>
              </w:rPr>
              <w:t>Objetivos que se persiguen</w:t>
            </w:r>
          </w:p>
        </w:tc>
        <w:tc>
          <w:tcPr>
            <w:tcW w:w="6018"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C7D5B04" w14:textId="1A7AB37B" w:rsidR="00E00019" w:rsidRPr="00FB346B" w:rsidRDefault="00E00019" w:rsidP="00FB346B">
            <w:pPr>
              <w:pStyle w:val="COVERPAGE"/>
              <w:spacing w:line="360" w:lineRule="auto"/>
              <w:rPr>
                <w:rFonts w:cs="Arial"/>
                <w:sz w:val="28"/>
                <w:szCs w:val="28"/>
              </w:rPr>
            </w:pPr>
            <w:r w:rsidRPr="00ED133C">
              <w:rPr>
                <w:rFonts w:cs="Arial"/>
                <w:b w:val="0"/>
                <w:sz w:val="28"/>
                <w:szCs w:val="28"/>
              </w:rPr>
              <w:t>Regular el salario mínimo que ha de regir para el año</w:t>
            </w:r>
            <w:r w:rsidR="00024592" w:rsidRPr="00ED133C">
              <w:rPr>
                <w:rFonts w:cs="Arial"/>
                <w:b w:val="0"/>
                <w:sz w:val="28"/>
                <w:szCs w:val="28"/>
              </w:rPr>
              <w:t xml:space="preserve"> </w:t>
            </w:r>
            <w:r w:rsidR="00265837" w:rsidRPr="00ED133C">
              <w:rPr>
                <w:rFonts w:cs="Arial"/>
                <w:b w:val="0"/>
                <w:sz w:val="28"/>
                <w:szCs w:val="28"/>
              </w:rPr>
              <w:t>20</w:t>
            </w:r>
            <w:r w:rsidR="00010A26" w:rsidRPr="00ED133C">
              <w:rPr>
                <w:rFonts w:cs="Arial"/>
                <w:b w:val="0"/>
                <w:sz w:val="28"/>
                <w:szCs w:val="28"/>
              </w:rPr>
              <w:t>2</w:t>
            </w:r>
            <w:r w:rsidR="004E1EC1">
              <w:rPr>
                <w:rFonts w:cs="Arial"/>
                <w:b w:val="0"/>
                <w:sz w:val="28"/>
                <w:szCs w:val="28"/>
              </w:rPr>
              <w:t>4</w:t>
            </w:r>
            <w:r w:rsidRPr="00ED133C">
              <w:rPr>
                <w:rFonts w:cs="Arial"/>
                <w:b w:val="0"/>
                <w:sz w:val="28"/>
                <w:szCs w:val="28"/>
              </w:rPr>
              <w:t xml:space="preserve"> de acuerdo con lo establecido en el art</w:t>
            </w:r>
            <w:r w:rsidR="00541C87" w:rsidRPr="00ED133C">
              <w:rPr>
                <w:rFonts w:cs="Arial"/>
                <w:b w:val="0"/>
                <w:sz w:val="28"/>
                <w:szCs w:val="28"/>
              </w:rPr>
              <w:t>í</w:t>
            </w:r>
            <w:r w:rsidRPr="00ED133C">
              <w:rPr>
                <w:rFonts w:cs="Arial"/>
                <w:b w:val="0"/>
                <w:sz w:val="28"/>
                <w:szCs w:val="28"/>
              </w:rPr>
              <w:t>culo 27 del Estatuto de los Trabajadores</w:t>
            </w:r>
            <w:r w:rsidR="00FB346B">
              <w:rPr>
                <w:rFonts w:cs="Arial"/>
                <w:b w:val="0"/>
                <w:sz w:val="28"/>
                <w:szCs w:val="28"/>
              </w:rPr>
              <w:t>.</w:t>
            </w:r>
          </w:p>
        </w:tc>
      </w:tr>
      <w:tr w:rsidR="00E00019" w:rsidRPr="00014623" w14:paraId="320CFD22" w14:textId="77777777" w:rsidTr="003E39D6">
        <w:trPr>
          <w:trHeight w:val="581"/>
        </w:trPr>
        <w:tc>
          <w:tcPr>
            <w:tcW w:w="308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1FAF722"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b/>
                <w:color w:val="auto"/>
                <w:sz w:val="28"/>
                <w:szCs w:val="28"/>
              </w:rPr>
            </w:pPr>
            <w:r w:rsidRPr="00ED133C">
              <w:rPr>
                <w:rFonts w:ascii="Arial" w:hAnsi="Arial" w:cs="Arial"/>
                <w:b/>
                <w:color w:val="auto"/>
                <w:sz w:val="28"/>
                <w:szCs w:val="28"/>
              </w:rPr>
              <w:t>Principales alternativas consideradas</w:t>
            </w:r>
          </w:p>
        </w:tc>
        <w:tc>
          <w:tcPr>
            <w:tcW w:w="6018"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13E778AB" w14:textId="4B3C5626" w:rsidR="00E00019" w:rsidRPr="00ED133C" w:rsidRDefault="008C7108" w:rsidP="00856753">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color w:val="auto"/>
                <w:sz w:val="28"/>
                <w:szCs w:val="28"/>
              </w:rPr>
              <w:t xml:space="preserve">No se han considerado otras </w:t>
            </w:r>
            <w:r w:rsidR="004569EA" w:rsidRPr="00ED133C">
              <w:rPr>
                <w:rFonts w:ascii="Arial" w:hAnsi="Arial" w:cs="Arial"/>
                <w:color w:val="auto"/>
                <w:sz w:val="28"/>
                <w:szCs w:val="28"/>
              </w:rPr>
              <w:t>alternativas</w:t>
            </w:r>
            <w:r w:rsidR="00856753">
              <w:rPr>
                <w:rFonts w:ascii="Arial" w:hAnsi="Arial" w:cs="Arial"/>
                <w:color w:val="auto"/>
                <w:sz w:val="28"/>
                <w:szCs w:val="28"/>
              </w:rPr>
              <w:t xml:space="preserve"> </w:t>
            </w:r>
            <w:r w:rsidR="00856753" w:rsidRPr="00ED133C">
              <w:rPr>
                <w:rFonts w:ascii="Arial" w:hAnsi="Arial" w:cs="Arial"/>
                <w:color w:val="auto"/>
                <w:sz w:val="28"/>
                <w:szCs w:val="28"/>
              </w:rPr>
              <w:t xml:space="preserve">puesto que la vigencia del Real Decreto </w:t>
            </w:r>
            <w:r w:rsidR="00856753" w:rsidRPr="00856753">
              <w:rPr>
                <w:rFonts w:ascii="Arial" w:hAnsi="Arial" w:cs="Arial"/>
                <w:color w:val="auto"/>
                <w:sz w:val="28"/>
                <w:szCs w:val="28"/>
              </w:rPr>
              <w:t>Real Decreto 99/2023, de 14 de febrero</w:t>
            </w:r>
            <w:r w:rsidR="00856753">
              <w:rPr>
                <w:rFonts w:ascii="Arial" w:hAnsi="Arial" w:cs="Arial"/>
                <w:color w:val="auto"/>
                <w:sz w:val="28"/>
                <w:szCs w:val="28"/>
              </w:rPr>
              <w:t xml:space="preserve"> </w:t>
            </w:r>
            <w:r w:rsidR="00856753" w:rsidRPr="00ED133C">
              <w:rPr>
                <w:rFonts w:ascii="Arial" w:hAnsi="Arial" w:cs="Arial"/>
                <w:color w:val="auto"/>
                <w:sz w:val="28"/>
                <w:szCs w:val="28"/>
              </w:rPr>
              <w:t xml:space="preserve">ha decaído y ha tenido que ser prorrogada de manera expresa y temporal por el artículo </w:t>
            </w:r>
            <w:r w:rsidR="00856753">
              <w:rPr>
                <w:rFonts w:ascii="Arial" w:hAnsi="Arial" w:cs="Arial"/>
                <w:color w:val="auto"/>
                <w:sz w:val="28"/>
                <w:szCs w:val="28"/>
              </w:rPr>
              <w:t>84</w:t>
            </w:r>
            <w:r w:rsidR="00856753" w:rsidRPr="00ED133C">
              <w:rPr>
                <w:rFonts w:ascii="Arial" w:hAnsi="Arial" w:cs="Arial"/>
                <w:color w:val="auto"/>
                <w:sz w:val="28"/>
                <w:szCs w:val="28"/>
              </w:rPr>
              <w:t xml:space="preserve"> del </w:t>
            </w:r>
            <w:r w:rsidR="00856753" w:rsidRPr="00856753">
              <w:rPr>
                <w:rFonts w:ascii="Arial" w:hAnsi="Arial" w:cs="Arial"/>
                <w:color w:val="auto"/>
                <w:sz w:val="28"/>
                <w:szCs w:val="28"/>
              </w:rPr>
              <w:t>Real Decreto-ley 8/2023, de 27 de diciembre</w:t>
            </w:r>
            <w:r w:rsidR="00856753" w:rsidRPr="00ED133C">
              <w:rPr>
                <w:rFonts w:ascii="Arial" w:hAnsi="Arial" w:cs="Arial"/>
                <w:color w:val="auto"/>
                <w:sz w:val="28"/>
                <w:szCs w:val="28"/>
              </w:rPr>
              <w:t xml:space="preserve">, </w:t>
            </w:r>
            <w:r w:rsidR="00856753">
              <w:rPr>
                <w:rFonts w:ascii="Arial" w:hAnsi="Arial" w:cs="Arial"/>
                <w:color w:val="auto"/>
                <w:sz w:val="28"/>
                <w:szCs w:val="28"/>
              </w:rPr>
              <w:t>en</w:t>
            </w:r>
            <w:r w:rsidR="00856753" w:rsidRPr="00ED133C">
              <w:rPr>
                <w:rFonts w:ascii="Arial" w:hAnsi="Arial" w:cs="Arial"/>
                <w:color w:val="auto"/>
                <w:sz w:val="28"/>
                <w:szCs w:val="28"/>
              </w:rPr>
              <w:t xml:space="preserve"> tanto no se apruebe un nuevo salario mínimo interprofesional.</w:t>
            </w:r>
          </w:p>
        </w:tc>
      </w:tr>
      <w:tr w:rsidR="00E00019" w:rsidRPr="00014623" w14:paraId="3FDFBFB7" w14:textId="77777777" w:rsidTr="00C64E28">
        <w:trPr>
          <w:cantSplit/>
          <w:trHeight w:val="322"/>
        </w:trPr>
        <w:tc>
          <w:tcPr>
            <w:tcW w:w="9105" w:type="dxa"/>
            <w:gridSpan w:val="5"/>
            <w:tcBorders>
              <w:top w:val="single" w:sz="16" w:space="0" w:color="000000"/>
              <w:left w:val="single" w:sz="32" w:space="0" w:color="000000"/>
              <w:bottom w:val="single" w:sz="16" w:space="0" w:color="000000"/>
              <w:right w:val="single" w:sz="32" w:space="0" w:color="000000"/>
            </w:tcBorders>
            <w:shd w:val="clear" w:color="auto" w:fill="EFE100"/>
            <w:tcMar>
              <w:top w:w="100" w:type="dxa"/>
              <w:left w:w="100" w:type="dxa"/>
              <w:bottom w:w="100" w:type="dxa"/>
              <w:right w:w="100" w:type="dxa"/>
            </w:tcMar>
          </w:tcPr>
          <w:p w14:paraId="3757D6FF"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Arial" w:hAnsi="Arial" w:cs="Arial"/>
                <w:b/>
                <w:color w:val="auto"/>
                <w:sz w:val="28"/>
                <w:szCs w:val="28"/>
              </w:rPr>
            </w:pPr>
            <w:r w:rsidRPr="00ED133C">
              <w:rPr>
                <w:rFonts w:ascii="Arial" w:hAnsi="Arial" w:cs="Arial"/>
                <w:b/>
                <w:color w:val="auto"/>
                <w:sz w:val="28"/>
                <w:szCs w:val="28"/>
              </w:rPr>
              <w:lastRenderedPageBreak/>
              <w:t>CONTENIDO Y ANÁLISIS JURÍDICO</w:t>
            </w:r>
          </w:p>
        </w:tc>
      </w:tr>
      <w:tr w:rsidR="00E00019" w:rsidRPr="00014623" w14:paraId="4BAFDC0A" w14:textId="77777777" w:rsidTr="003E39D6">
        <w:trPr>
          <w:cantSplit/>
          <w:trHeight w:val="300"/>
        </w:trPr>
        <w:tc>
          <w:tcPr>
            <w:tcW w:w="308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5CAA979"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b/>
                <w:color w:val="auto"/>
                <w:sz w:val="28"/>
                <w:szCs w:val="28"/>
              </w:rPr>
            </w:pPr>
            <w:r w:rsidRPr="00ED133C">
              <w:rPr>
                <w:rFonts w:ascii="Arial" w:hAnsi="Arial" w:cs="Arial"/>
                <w:b/>
                <w:color w:val="auto"/>
                <w:sz w:val="28"/>
                <w:szCs w:val="28"/>
              </w:rPr>
              <w:t>Tipo de norma</w:t>
            </w:r>
          </w:p>
        </w:tc>
        <w:tc>
          <w:tcPr>
            <w:tcW w:w="6018"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AD44034" w14:textId="29153C52"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color w:val="auto"/>
                <w:sz w:val="28"/>
                <w:szCs w:val="28"/>
              </w:rPr>
              <w:t xml:space="preserve">Real </w:t>
            </w:r>
            <w:r w:rsidR="00424D1C" w:rsidRPr="00ED133C">
              <w:rPr>
                <w:rFonts w:ascii="Arial" w:hAnsi="Arial" w:cs="Arial"/>
                <w:color w:val="auto"/>
                <w:sz w:val="28"/>
                <w:szCs w:val="28"/>
              </w:rPr>
              <w:t>D</w:t>
            </w:r>
            <w:r w:rsidRPr="00ED133C">
              <w:rPr>
                <w:rFonts w:ascii="Arial" w:hAnsi="Arial" w:cs="Arial"/>
                <w:color w:val="auto"/>
                <w:sz w:val="28"/>
                <w:szCs w:val="28"/>
              </w:rPr>
              <w:t>ecreto</w:t>
            </w:r>
            <w:r w:rsidR="00135C83" w:rsidRPr="00ED133C">
              <w:rPr>
                <w:rFonts w:ascii="Arial" w:hAnsi="Arial" w:cs="Arial"/>
                <w:color w:val="auto"/>
                <w:sz w:val="28"/>
                <w:szCs w:val="28"/>
              </w:rPr>
              <w:t>.</w:t>
            </w:r>
          </w:p>
        </w:tc>
      </w:tr>
      <w:tr w:rsidR="00E00019" w:rsidRPr="00014623" w14:paraId="0D983C98" w14:textId="77777777" w:rsidTr="003E39D6">
        <w:trPr>
          <w:trHeight w:val="780"/>
        </w:trPr>
        <w:tc>
          <w:tcPr>
            <w:tcW w:w="308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4993A9C"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b/>
                <w:color w:val="auto"/>
                <w:sz w:val="28"/>
                <w:szCs w:val="28"/>
              </w:rPr>
            </w:pPr>
            <w:r w:rsidRPr="00ED133C">
              <w:rPr>
                <w:rFonts w:ascii="Arial" w:hAnsi="Arial" w:cs="Arial"/>
                <w:b/>
                <w:color w:val="auto"/>
                <w:sz w:val="28"/>
                <w:szCs w:val="28"/>
              </w:rPr>
              <w:t xml:space="preserve">Estructura de la </w:t>
            </w:r>
            <w:r w:rsidR="00226476" w:rsidRPr="00ED133C">
              <w:rPr>
                <w:rFonts w:ascii="Arial" w:hAnsi="Arial" w:cs="Arial"/>
                <w:b/>
                <w:color w:val="auto"/>
                <w:sz w:val="28"/>
                <w:szCs w:val="28"/>
              </w:rPr>
              <w:t>n</w:t>
            </w:r>
            <w:r w:rsidRPr="00ED133C">
              <w:rPr>
                <w:rFonts w:ascii="Arial" w:hAnsi="Arial" w:cs="Arial"/>
                <w:b/>
                <w:color w:val="auto"/>
                <w:sz w:val="28"/>
                <w:szCs w:val="28"/>
              </w:rPr>
              <w:t xml:space="preserve">orma </w:t>
            </w:r>
          </w:p>
        </w:tc>
        <w:tc>
          <w:tcPr>
            <w:tcW w:w="6018"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756A3761" w14:textId="5F931291"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s="Arial"/>
                <w:color w:val="auto"/>
                <w:sz w:val="28"/>
                <w:szCs w:val="28"/>
              </w:rPr>
            </w:pPr>
            <w:r w:rsidRPr="00ED133C">
              <w:rPr>
                <w:rFonts w:ascii="Arial" w:hAnsi="Arial" w:cs="Arial"/>
                <w:color w:val="auto"/>
                <w:sz w:val="28"/>
                <w:szCs w:val="28"/>
              </w:rPr>
              <w:t xml:space="preserve">El proyecto consta de cuatro </w:t>
            </w:r>
            <w:r w:rsidR="00D05115" w:rsidRPr="00ED133C">
              <w:rPr>
                <w:rFonts w:ascii="Arial" w:hAnsi="Arial" w:cs="Arial"/>
                <w:color w:val="auto"/>
                <w:sz w:val="28"/>
                <w:szCs w:val="28"/>
              </w:rPr>
              <w:t>artículos</w:t>
            </w:r>
            <w:r w:rsidR="00002ECB" w:rsidRPr="00ED133C">
              <w:rPr>
                <w:rFonts w:ascii="Arial" w:hAnsi="Arial" w:cs="Arial"/>
                <w:color w:val="auto"/>
                <w:sz w:val="28"/>
                <w:szCs w:val="28"/>
              </w:rPr>
              <w:t>, una transitoria única</w:t>
            </w:r>
            <w:r w:rsidR="009E7AB8" w:rsidRPr="00ED133C">
              <w:rPr>
                <w:rFonts w:ascii="Arial" w:hAnsi="Arial" w:cs="Arial"/>
                <w:color w:val="auto"/>
                <w:sz w:val="28"/>
                <w:szCs w:val="28"/>
              </w:rPr>
              <w:t xml:space="preserve"> </w:t>
            </w:r>
            <w:r w:rsidRPr="00ED133C">
              <w:rPr>
                <w:rFonts w:ascii="Arial" w:hAnsi="Arial" w:cs="Arial"/>
                <w:color w:val="auto"/>
                <w:sz w:val="28"/>
                <w:szCs w:val="28"/>
              </w:rPr>
              <w:t xml:space="preserve">y </w:t>
            </w:r>
            <w:r w:rsidR="003726F5" w:rsidRPr="00ED133C">
              <w:rPr>
                <w:rFonts w:ascii="Arial" w:hAnsi="Arial" w:cs="Arial"/>
                <w:color w:val="auto"/>
                <w:sz w:val="28"/>
                <w:szCs w:val="28"/>
              </w:rPr>
              <w:t>tres</w:t>
            </w:r>
            <w:r w:rsidRPr="00ED133C">
              <w:rPr>
                <w:rFonts w:ascii="Arial" w:hAnsi="Arial" w:cs="Arial"/>
                <w:color w:val="auto"/>
                <w:sz w:val="28"/>
                <w:szCs w:val="28"/>
              </w:rPr>
              <w:t xml:space="preserve"> disposiciones finales.</w:t>
            </w:r>
          </w:p>
          <w:p w14:paraId="41E0B86D" w14:textId="16AD1F7C" w:rsidR="009E6881"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s="Arial"/>
                <w:color w:val="auto"/>
                <w:sz w:val="28"/>
                <w:szCs w:val="28"/>
              </w:rPr>
            </w:pPr>
            <w:r w:rsidRPr="00ED133C">
              <w:rPr>
                <w:rFonts w:ascii="Arial" w:hAnsi="Arial" w:cs="Arial"/>
                <w:color w:val="auto"/>
                <w:sz w:val="28"/>
                <w:szCs w:val="28"/>
              </w:rPr>
              <w:t xml:space="preserve">Los artículos recogen la regulación del salario </w:t>
            </w:r>
            <w:r w:rsidR="00D05115" w:rsidRPr="00ED133C">
              <w:rPr>
                <w:rFonts w:ascii="Arial" w:hAnsi="Arial" w:cs="Arial"/>
                <w:color w:val="auto"/>
                <w:sz w:val="28"/>
                <w:szCs w:val="28"/>
              </w:rPr>
              <w:t>mínimo</w:t>
            </w:r>
            <w:r w:rsidRPr="00ED133C">
              <w:rPr>
                <w:rFonts w:ascii="Arial" w:hAnsi="Arial" w:cs="Arial"/>
                <w:color w:val="auto"/>
                <w:sz w:val="28"/>
                <w:szCs w:val="28"/>
              </w:rPr>
              <w:t xml:space="preserve"> para</w:t>
            </w:r>
            <w:r w:rsidR="00265837" w:rsidRPr="00ED133C">
              <w:rPr>
                <w:rFonts w:ascii="Arial" w:hAnsi="Arial" w:cs="Arial"/>
                <w:color w:val="auto"/>
                <w:sz w:val="28"/>
                <w:szCs w:val="28"/>
              </w:rPr>
              <w:t xml:space="preserve"> 20</w:t>
            </w:r>
            <w:r w:rsidR="00010A26" w:rsidRPr="00ED133C">
              <w:rPr>
                <w:rFonts w:ascii="Arial" w:hAnsi="Arial" w:cs="Arial"/>
                <w:color w:val="auto"/>
                <w:sz w:val="28"/>
                <w:szCs w:val="28"/>
              </w:rPr>
              <w:t>2</w:t>
            </w:r>
            <w:r w:rsidR="00CB7587">
              <w:rPr>
                <w:rFonts w:ascii="Arial" w:hAnsi="Arial" w:cs="Arial"/>
                <w:color w:val="auto"/>
                <w:sz w:val="28"/>
                <w:szCs w:val="28"/>
              </w:rPr>
              <w:t>4</w:t>
            </w:r>
            <w:r w:rsidRPr="00ED133C">
              <w:rPr>
                <w:rFonts w:ascii="Arial" w:hAnsi="Arial" w:cs="Arial"/>
                <w:color w:val="auto"/>
                <w:sz w:val="28"/>
                <w:szCs w:val="28"/>
              </w:rPr>
              <w:t>, las peculiaridades de los complementos salariales, las disposiciones sobre compensación y absorción y las especificidades aplicables a l</w:t>
            </w:r>
            <w:r w:rsidR="009E6881" w:rsidRPr="00ED133C">
              <w:rPr>
                <w:rFonts w:ascii="Arial" w:hAnsi="Arial" w:cs="Arial"/>
                <w:color w:val="auto"/>
                <w:sz w:val="28"/>
                <w:szCs w:val="28"/>
              </w:rPr>
              <w:t>a</w:t>
            </w:r>
            <w:r w:rsidRPr="00ED133C">
              <w:rPr>
                <w:rFonts w:ascii="Arial" w:hAnsi="Arial" w:cs="Arial"/>
                <w:color w:val="auto"/>
                <w:sz w:val="28"/>
                <w:szCs w:val="28"/>
              </w:rPr>
              <w:t>s</w:t>
            </w:r>
            <w:r w:rsidR="009E6881" w:rsidRPr="00ED133C">
              <w:rPr>
                <w:rFonts w:ascii="Arial" w:hAnsi="Arial" w:cs="Arial"/>
                <w:color w:val="auto"/>
                <w:sz w:val="28"/>
                <w:szCs w:val="28"/>
              </w:rPr>
              <w:t xml:space="preserve"> personas</w:t>
            </w:r>
            <w:r w:rsidRPr="00ED133C">
              <w:rPr>
                <w:rFonts w:ascii="Arial" w:hAnsi="Arial" w:cs="Arial"/>
                <w:color w:val="auto"/>
                <w:sz w:val="28"/>
                <w:szCs w:val="28"/>
              </w:rPr>
              <w:t xml:space="preserve"> trabajador</w:t>
            </w:r>
            <w:r w:rsidR="009E6881" w:rsidRPr="00ED133C">
              <w:rPr>
                <w:rFonts w:ascii="Arial" w:hAnsi="Arial" w:cs="Arial"/>
                <w:color w:val="auto"/>
                <w:sz w:val="28"/>
                <w:szCs w:val="28"/>
              </w:rPr>
              <w:t>a</w:t>
            </w:r>
            <w:r w:rsidRPr="00ED133C">
              <w:rPr>
                <w:rFonts w:ascii="Arial" w:hAnsi="Arial" w:cs="Arial"/>
                <w:color w:val="auto"/>
                <w:sz w:val="28"/>
                <w:szCs w:val="28"/>
              </w:rPr>
              <w:t>s eventuales</w:t>
            </w:r>
            <w:r w:rsidR="009656E0" w:rsidRPr="00ED133C">
              <w:rPr>
                <w:rFonts w:ascii="Arial" w:hAnsi="Arial" w:cs="Arial"/>
                <w:color w:val="auto"/>
                <w:sz w:val="28"/>
                <w:szCs w:val="28"/>
              </w:rPr>
              <w:t>,</w:t>
            </w:r>
            <w:r w:rsidRPr="00ED133C">
              <w:rPr>
                <w:rFonts w:ascii="Arial" w:hAnsi="Arial" w:cs="Arial"/>
                <w:color w:val="auto"/>
                <w:sz w:val="28"/>
                <w:szCs w:val="28"/>
              </w:rPr>
              <w:t xml:space="preserve"> temporeros</w:t>
            </w:r>
            <w:r w:rsidR="009E6881" w:rsidRPr="00ED133C">
              <w:rPr>
                <w:rFonts w:ascii="Arial" w:hAnsi="Arial" w:cs="Arial"/>
                <w:color w:val="auto"/>
                <w:sz w:val="28"/>
                <w:szCs w:val="28"/>
              </w:rPr>
              <w:t xml:space="preserve"> y temporeras, y empleadas</w:t>
            </w:r>
            <w:r w:rsidR="009656E0" w:rsidRPr="00ED133C">
              <w:rPr>
                <w:rFonts w:ascii="Arial" w:hAnsi="Arial" w:cs="Arial"/>
                <w:color w:val="auto"/>
                <w:sz w:val="28"/>
                <w:szCs w:val="28"/>
              </w:rPr>
              <w:t xml:space="preserve"> y empleados de hogar</w:t>
            </w:r>
            <w:r w:rsidRPr="00ED133C">
              <w:rPr>
                <w:rFonts w:ascii="Arial" w:hAnsi="Arial" w:cs="Arial"/>
                <w:color w:val="auto"/>
                <w:sz w:val="28"/>
                <w:szCs w:val="28"/>
              </w:rPr>
              <w:t>.</w:t>
            </w:r>
            <w:r w:rsidR="009E6881" w:rsidRPr="00ED133C">
              <w:rPr>
                <w:rFonts w:ascii="Arial" w:hAnsi="Arial" w:cs="Arial"/>
                <w:color w:val="auto"/>
                <w:sz w:val="28"/>
                <w:szCs w:val="28"/>
              </w:rPr>
              <w:t xml:space="preserve"> </w:t>
            </w:r>
          </w:p>
          <w:p w14:paraId="2BF3B190" w14:textId="7B2B296A" w:rsidR="000403E6" w:rsidRPr="00ED133C" w:rsidRDefault="000403E6"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s="Arial"/>
                <w:color w:val="auto"/>
                <w:sz w:val="28"/>
                <w:szCs w:val="28"/>
              </w:rPr>
            </w:pPr>
            <w:r w:rsidRPr="00ED133C">
              <w:rPr>
                <w:rFonts w:ascii="Arial" w:hAnsi="Arial" w:cs="Arial"/>
                <w:color w:val="auto"/>
                <w:sz w:val="28"/>
                <w:szCs w:val="28"/>
              </w:rPr>
              <w:t>La disposición transitoria única dispone la no afectación de la nueva cuantía del salario mínimo interprofesional en relación con las referencias contenidas en normas no estatales y relaciones privadas.</w:t>
            </w:r>
          </w:p>
          <w:p w14:paraId="3EEFB8FB" w14:textId="19B90AEA" w:rsidR="00E00019" w:rsidRPr="00ED133C" w:rsidRDefault="00D05115" w:rsidP="00C34BF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s="Arial"/>
                <w:color w:val="auto"/>
                <w:sz w:val="28"/>
                <w:szCs w:val="28"/>
              </w:rPr>
            </w:pPr>
            <w:r w:rsidRPr="00ED133C">
              <w:rPr>
                <w:rFonts w:ascii="Arial" w:hAnsi="Arial" w:cs="Arial"/>
                <w:color w:val="auto"/>
                <w:sz w:val="28"/>
                <w:szCs w:val="28"/>
              </w:rPr>
              <w:t>La</w:t>
            </w:r>
            <w:r w:rsidR="00E00019" w:rsidRPr="00ED133C">
              <w:rPr>
                <w:rFonts w:ascii="Arial" w:hAnsi="Arial" w:cs="Arial"/>
                <w:color w:val="auto"/>
                <w:sz w:val="28"/>
                <w:szCs w:val="28"/>
              </w:rPr>
              <w:t xml:space="preserve"> disposición final primera </w:t>
            </w:r>
            <w:r w:rsidR="003726F5" w:rsidRPr="00ED133C">
              <w:rPr>
                <w:rFonts w:ascii="Arial" w:hAnsi="Arial" w:cs="Arial"/>
                <w:color w:val="auto"/>
                <w:sz w:val="28"/>
                <w:szCs w:val="28"/>
              </w:rPr>
              <w:t xml:space="preserve">contiene el título competencial, la segunda la autorización a la </w:t>
            </w:r>
            <w:r w:rsidR="009E6881" w:rsidRPr="00ED133C">
              <w:rPr>
                <w:rFonts w:ascii="Arial" w:hAnsi="Arial" w:cs="Arial"/>
                <w:color w:val="auto"/>
                <w:sz w:val="28"/>
                <w:szCs w:val="28"/>
              </w:rPr>
              <w:t>M</w:t>
            </w:r>
            <w:r w:rsidR="003726F5" w:rsidRPr="00ED133C">
              <w:rPr>
                <w:rFonts w:ascii="Arial" w:hAnsi="Arial" w:cs="Arial"/>
                <w:color w:val="auto"/>
                <w:sz w:val="28"/>
                <w:szCs w:val="28"/>
              </w:rPr>
              <w:t>inistra</w:t>
            </w:r>
            <w:r w:rsidR="009E6881" w:rsidRPr="00ED133C">
              <w:rPr>
                <w:rFonts w:ascii="Arial" w:hAnsi="Arial" w:cs="Arial"/>
                <w:color w:val="auto"/>
                <w:sz w:val="28"/>
                <w:szCs w:val="28"/>
              </w:rPr>
              <w:t xml:space="preserve"> de Trabajo y Economía Social </w:t>
            </w:r>
            <w:r w:rsidR="003726F5" w:rsidRPr="00ED133C">
              <w:rPr>
                <w:rFonts w:ascii="Arial" w:hAnsi="Arial" w:cs="Arial"/>
                <w:color w:val="auto"/>
                <w:sz w:val="28"/>
                <w:szCs w:val="28"/>
              </w:rPr>
              <w:t>para dictar disposiciones de desarrollo y aplicación en el ámbito de su competencia</w:t>
            </w:r>
            <w:r w:rsidR="007755BE" w:rsidRPr="00ED133C">
              <w:rPr>
                <w:rFonts w:ascii="Arial" w:hAnsi="Arial" w:cs="Arial"/>
                <w:color w:val="auto"/>
                <w:sz w:val="28"/>
                <w:szCs w:val="28"/>
              </w:rPr>
              <w:t xml:space="preserve"> y la tercera </w:t>
            </w:r>
            <w:r w:rsidR="00F7139E" w:rsidRPr="00ED133C">
              <w:rPr>
                <w:rFonts w:ascii="Arial" w:hAnsi="Arial" w:cs="Arial"/>
                <w:color w:val="auto"/>
                <w:sz w:val="28"/>
                <w:szCs w:val="28"/>
              </w:rPr>
              <w:t>fija la entrada en vigor y periodo de vigencia</w:t>
            </w:r>
            <w:r w:rsidR="003726F5" w:rsidRPr="00ED133C">
              <w:rPr>
                <w:rFonts w:ascii="Arial" w:hAnsi="Arial" w:cs="Arial"/>
                <w:color w:val="auto"/>
                <w:sz w:val="28"/>
                <w:szCs w:val="28"/>
              </w:rPr>
              <w:t>.</w:t>
            </w:r>
          </w:p>
        </w:tc>
      </w:tr>
      <w:tr w:rsidR="00E00019" w:rsidRPr="00014623" w14:paraId="10A32EFE" w14:textId="77777777" w:rsidTr="003E39D6">
        <w:trPr>
          <w:trHeight w:val="393"/>
        </w:trPr>
        <w:tc>
          <w:tcPr>
            <w:tcW w:w="308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24594AAB" w14:textId="77777777" w:rsidR="00E00019" w:rsidRPr="00FB346B"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b/>
                <w:color w:val="auto"/>
                <w:sz w:val="28"/>
                <w:szCs w:val="28"/>
              </w:rPr>
            </w:pPr>
            <w:r w:rsidRPr="00FB346B">
              <w:rPr>
                <w:rFonts w:ascii="Arial" w:hAnsi="Arial" w:cs="Arial"/>
                <w:b/>
                <w:color w:val="auto"/>
                <w:sz w:val="28"/>
                <w:szCs w:val="28"/>
              </w:rPr>
              <w:lastRenderedPageBreak/>
              <w:t>Informes recabados</w:t>
            </w:r>
            <w:r w:rsidR="00226476" w:rsidRPr="00FB346B">
              <w:rPr>
                <w:rFonts w:ascii="Arial" w:hAnsi="Arial" w:cs="Arial"/>
                <w:b/>
                <w:color w:val="auto"/>
                <w:sz w:val="28"/>
                <w:szCs w:val="28"/>
              </w:rPr>
              <w:t xml:space="preserve"> </w:t>
            </w:r>
            <w:r w:rsidR="00603FB1" w:rsidRPr="00FB346B">
              <w:rPr>
                <w:rFonts w:ascii="Arial" w:hAnsi="Arial" w:cs="Arial"/>
                <w:b/>
                <w:color w:val="auto"/>
                <w:sz w:val="28"/>
                <w:szCs w:val="28"/>
              </w:rPr>
              <w:t>(artículo 26.5 de la Ley 50/1997, del Gobierno)</w:t>
            </w:r>
          </w:p>
          <w:p w14:paraId="1092457C" w14:textId="77777777" w:rsidR="00603FB1" w:rsidRPr="00FB346B" w:rsidRDefault="00603FB1"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b/>
                <w:color w:val="auto"/>
                <w:sz w:val="28"/>
                <w:szCs w:val="28"/>
              </w:rPr>
            </w:pPr>
          </w:p>
        </w:tc>
        <w:tc>
          <w:tcPr>
            <w:tcW w:w="6018"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68064D6" w14:textId="45D2E99F" w:rsidR="00E00019" w:rsidRPr="00FB346B" w:rsidRDefault="00E00019" w:rsidP="00E15034">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s="Arial"/>
                <w:color w:val="auto"/>
                <w:sz w:val="28"/>
                <w:szCs w:val="28"/>
              </w:rPr>
            </w:pPr>
            <w:r w:rsidRPr="00FB346B">
              <w:rPr>
                <w:rFonts w:ascii="Arial" w:hAnsi="Arial" w:cs="Arial"/>
                <w:color w:val="auto"/>
                <w:sz w:val="28"/>
                <w:szCs w:val="28"/>
              </w:rPr>
              <w:t>En su fase de borrador</w:t>
            </w:r>
            <w:r w:rsidR="003E39D6">
              <w:rPr>
                <w:rFonts w:ascii="Arial" w:hAnsi="Arial" w:cs="Arial"/>
                <w:color w:val="auto"/>
                <w:sz w:val="28"/>
                <w:szCs w:val="28"/>
              </w:rPr>
              <w:t xml:space="preserve"> -y en base al </w:t>
            </w:r>
            <w:r w:rsidR="003E39D6" w:rsidRPr="003E39D6">
              <w:rPr>
                <w:rFonts w:ascii="Arial" w:hAnsi="Arial" w:cs="Arial"/>
                <w:color w:val="auto"/>
                <w:sz w:val="28"/>
                <w:szCs w:val="28"/>
              </w:rPr>
              <w:t>artículo 26.</w:t>
            </w:r>
            <w:r w:rsidR="002058ED">
              <w:rPr>
                <w:rFonts w:ascii="Arial" w:hAnsi="Arial" w:cs="Arial"/>
                <w:color w:val="auto"/>
                <w:sz w:val="28"/>
                <w:szCs w:val="28"/>
              </w:rPr>
              <w:t>2 y 26.</w:t>
            </w:r>
            <w:r w:rsidR="003E39D6" w:rsidRPr="003E39D6">
              <w:rPr>
                <w:rFonts w:ascii="Arial" w:hAnsi="Arial" w:cs="Arial"/>
                <w:color w:val="auto"/>
                <w:sz w:val="28"/>
                <w:szCs w:val="28"/>
              </w:rPr>
              <w:t>5, párrafo primero de la Ley 50/1997, de 27 de noviembre, del Gobierno</w:t>
            </w:r>
            <w:r w:rsidR="003E39D6">
              <w:rPr>
                <w:rFonts w:ascii="Arial" w:hAnsi="Arial" w:cs="Arial"/>
                <w:color w:val="auto"/>
                <w:sz w:val="28"/>
                <w:szCs w:val="28"/>
              </w:rPr>
              <w:t>-</w:t>
            </w:r>
            <w:r w:rsidRPr="00FB346B">
              <w:rPr>
                <w:rFonts w:ascii="Arial" w:hAnsi="Arial" w:cs="Arial"/>
                <w:color w:val="auto"/>
                <w:sz w:val="28"/>
                <w:szCs w:val="28"/>
              </w:rPr>
              <w:t xml:space="preserve"> se ha recabado el informe de</w:t>
            </w:r>
            <w:r w:rsidR="003E39D6">
              <w:rPr>
                <w:rFonts w:ascii="Arial" w:hAnsi="Arial" w:cs="Arial"/>
                <w:color w:val="auto"/>
                <w:sz w:val="28"/>
                <w:szCs w:val="28"/>
              </w:rPr>
              <w:t>: el</w:t>
            </w:r>
            <w:r w:rsidRPr="00FB346B">
              <w:rPr>
                <w:rFonts w:ascii="Arial" w:hAnsi="Arial" w:cs="Arial"/>
                <w:color w:val="auto"/>
                <w:sz w:val="28"/>
                <w:szCs w:val="28"/>
              </w:rPr>
              <w:t xml:space="preserve"> Fondo de Garantía Salarial</w:t>
            </w:r>
            <w:r w:rsidR="00593A9B" w:rsidRPr="00FB346B">
              <w:rPr>
                <w:rFonts w:ascii="Arial" w:hAnsi="Arial" w:cs="Arial"/>
                <w:color w:val="auto"/>
                <w:sz w:val="28"/>
                <w:szCs w:val="28"/>
              </w:rPr>
              <w:t>, O.A.</w:t>
            </w:r>
            <w:r w:rsidRPr="00FB346B">
              <w:rPr>
                <w:rFonts w:ascii="Arial" w:hAnsi="Arial" w:cs="Arial"/>
                <w:color w:val="auto"/>
                <w:sz w:val="28"/>
                <w:szCs w:val="28"/>
              </w:rPr>
              <w:t>, el Servicio P</w:t>
            </w:r>
            <w:r w:rsidR="002C24E9" w:rsidRPr="00FB346B">
              <w:rPr>
                <w:rFonts w:ascii="Arial" w:hAnsi="Arial" w:cs="Arial"/>
                <w:color w:val="auto"/>
                <w:sz w:val="28"/>
                <w:szCs w:val="28"/>
              </w:rPr>
              <w:t>ú</w:t>
            </w:r>
            <w:r w:rsidRPr="00FB346B">
              <w:rPr>
                <w:rFonts w:ascii="Arial" w:hAnsi="Arial" w:cs="Arial"/>
                <w:color w:val="auto"/>
                <w:sz w:val="28"/>
                <w:szCs w:val="28"/>
              </w:rPr>
              <w:t>blico de Empleo Estatal</w:t>
            </w:r>
            <w:r w:rsidR="00593A9B" w:rsidRPr="00FB346B">
              <w:rPr>
                <w:rFonts w:ascii="Arial" w:hAnsi="Arial" w:cs="Arial"/>
                <w:color w:val="auto"/>
                <w:sz w:val="28"/>
                <w:szCs w:val="28"/>
              </w:rPr>
              <w:t>,</w:t>
            </w:r>
            <w:r w:rsidR="00BE02E3" w:rsidRPr="00FB346B">
              <w:rPr>
                <w:rFonts w:ascii="Arial" w:hAnsi="Arial" w:cs="Arial"/>
                <w:color w:val="auto"/>
                <w:sz w:val="28"/>
                <w:szCs w:val="28"/>
              </w:rPr>
              <w:t xml:space="preserve"> O.A.</w:t>
            </w:r>
            <w:r w:rsidR="003E39D6">
              <w:rPr>
                <w:rFonts w:ascii="Arial" w:hAnsi="Arial" w:cs="Arial"/>
                <w:color w:val="auto"/>
                <w:sz w:val="28"/>
                <w:szCs w:val="28"/>
              </w:rPr>
              <w:t xml:space="preserve"> (ambos </w:t>
            </w:r>
            <w:r w:rsidR="00593A9B" w:rsidRPr="00FB346B">
              <w:rPr>
                <w:rFonts w:ascii="Arial" w:hAnsi="Arial" w:cs="Arial"/>
                <w:color w:val="auto"/>
                <w:sz w:val="28"/>
                <w:szCs w:val="28"/>
              </w:rPr>
              <w:t>organismos adscritos al Ministerio de Trabajo y Economía Social</w:t>
            </w:r>
            <w:r w:rsidR="003E39D6">
              <w:rPr>
                <w:rFonts w:ascii="Arial" w:hAnsi="Arial" w:cs="Arial"/>
                <w:color w:val="auto"/>
                <w:sz w:val="28"/>
                <w:szCs w:val="28"/>
              </w:rPr>
              <w:t>)</w:t>
            </w:r>
            <w:r w:rsidR="00593A9B" w:rsidRPr="00FB346B">
              <w:rPr>
                <w:rFonts w:ascii="Arial" w:hAnsi="Arial" w:cs="Arial"/>
                <w:color w:val="auto"/>
                <w:sz w:val="28"/>
                <w:szCs w:val="28"/>
              </w:rPr>
              <w:t>,</w:t>
            </w:r>
            <w:r w:rsidR="003E39D6">
              <w:rPr>
                <w:rFonts w:ascii="Arial" w:hAnsi="Arial" w:cs="Arial"/>
                <w:color w:val="auto"/>
                <w:sz w:val="28"/>
                <w:szCs w:val="28"/>
              </w:rPr>
              <w:t xml:space="preserve"> y</w:t>
            </w:r>
            <w:r w:rsidR="00A87748" w:rsidRPr="00FB346B">
              <w:rPr>
                <w:rFonts w:ascii="Arial" w:hAnsi="Arial" w:cs="Arial"/>
                <w:color w:val="auto"/>
                <w:sz w:val="28"/>
                <w:szCs w:val="28"/>
              </w:rPr>
              <w:t xml:space="preserve"> de la </w:t>
            </w:r>
            <w:r w:rsidR="00F93557" w:rsidRPr="00FB346B">
              <w:rPr>
                <w:rFonts w:ascii="Arial" w:hAnsi="Arial" w:cs="Arial"/>
                <w:color w:val="auto"/>
                <w:sz w:val="28"/>
                <w:szCs w:val="28"/>
              </w:rPr>
              <w:t xml:space="preserve">Subdirección </w:t>
            </w:r>
            <w:r w:rsidR="006E48A0" w:rsidRPr="00FB346B">
              <w:rPr>
                <w:rFonts w:ascii="Arial" w:hAnsi="Arial" w:cs="Arial"/>
                <w:color w:val="auto"/>
                <w:sz w:val="28"/>
                <w:szCs w:val="28"/>
              </w:rPr>
              <w:t>General</w:t>
            </w:r>
            <w:r w:rsidRPr="00FB346B">
              <w:rPr>
                <w:rFonts w:ascii="Arial" w:hAnsi="Arial" w:cs="Arial"/>
                <w:color w:val="auto"/>
                <w:sz w:val="28"/>
                <w:szCs w:val="28"/>
              </w:rPr>
              <w:t xml:space="preserve"> de </w:t>
            </w:r>
            <w:r w:rsidR="00A87748" w:rsidRPr="00FB346B">
              <w:rPr>
                <w:rFonts w:ascii="Arial" w:hAnsi="Arial" w:cs="Arial"/>
                <w:color w:val="auto"/>
                <w:sz w:val="28"/>
                <w:szCs w:val="28"/>
              </w:rPr>
              <w:t xml:space="preserve">Estadística y Análisis </w:t>
            </w:r>
            <w:r w:rsidR="00E15034" w:rsidRPr="00FB346B">
              <w:rPr>
                <w:rFonts w:ascii="Arial" w:hAnsi="Arial" w:cs="Arial"/>
                <w:color w:val="auto"/>
                <w:sz w:val="28"/>
                <w:szCs w:val="28"/>
              </w:rPr>
              <w:t>Sociolaboral</w:t>
            </w:r>
            <w:r w:rsidR="003E39D6">
              <w:rPr>
                <w:rFonts w:ascii="Arial" w:hAnsi="Arial" w:cs="Arial"/>
                <w:color w:val="auto"/>
                <w:sz w:val="28"/>
                <w:szCs w:val="28"/>
              </w:rPr>
              <w:t xml:space="preserve"> (</w:t>
            </w:r>
            <w:r w:rsidR="00593A9B" w:rsidRPr="00FB346B">
              <w:rPr>
                <w:rFonts w:ascii="Arial" w:hAnsi="Arial" w:cs="Arial"/>
                <w:color w:val="auto"/>
                <w:sz w:val="28"/>
                <w:szCs w:val="28"/>
              </w:rPr>
              <w:t xml:space="preserve">dependiente de la Secretaría de Estado de </w:t>
            </w:r>
            <w:r w:rsidR="003E39D6">
              <w:rPr>
                <w:rFonts w:ascii="Arial" w:hAnsi="Arial" w:cs="Arial"/>
                <w:color w:val="auto"/>
                <w:sz w:val="28"/>
                <w:szCs w:val="28"/>
              </w:rPr>
              <w:t>Trabajo)</w:t>
            </w:r>
            <w:r w:rsidR="007C66E3" w:rsidRPr="00FB346B">
              <w:rPr>
                <w:rFonts w:ascii="Arial" w:hAnsi="Arial" w:cs="Arial"/>
                <w:color w:val="auto"/>
                <w:sz w:val="28"/>
                <w:szCs w:val="28"/>
              </w:rPr>
              <w:t>.</w:t>
            </w:r>
            <w:r w:rsidR="003E39D6">
              <w:rPr>
                <w:rFonts w:ascii="Arial" w:hAnsi="Arial" w:cs="Arial"/>
                <w:color w:val="auto"/>
                <w:sz w:val="28"/>
                <w:szCs w:val="28"/>
              </w:rPr>
              <w:t xml:space="preserve"> También s</w:t>
            </w:r>
            <w:r w:rsidR="004D5696" w:rsidRPr="00FB346B">
              <w:rPr>
                <w:rFonts w:ascii="Arial" w:hAnsi="Arial" w:cs="Arial"/>
                <w:color w:val="auto"/>
                <w:sz w:val="28"/>
                <w:szCs w:val="28"/>
              </w:rPr>
              <w:t xml:space="preserve">e ha solicitado en dicha fase informe al Ministerio de Inclusión, </w:t>
            </w:r>
            <w:r w:rsidR="00F7139E" w:rsidRPr="00FB346B">
              <w:rPr>
                <w:rFonts w:ascii="Arial" w:hAnsi="Arial" w:cs="Arial"/>
                <w:color w:val="auto"/>
                <w:sz w:val="28"/>
                <w:szCs w:val="28"/>
              </w:rPr>
              <w:t xml:space="preserve">Seguridad Social y </w:t>
            </w:r>
            <w:r w:rsidR="004D5696" w:rsidRPr="00FB346B">
              <w:rPr>
                <w:rFonts w:ascii="Arial" w:hAnsi="Arial" w:cs="Arial"/>
                <w:color w:val="auto"/>
                <w:sz w:val="28"/>
                <w:szCs w:val="28"/>
              </w:rPr>
              <w:t>Migraciones</w:t>
            </w:r>
            <w:r w:rsidR="00871297" w:rsidRPr="00FB346B">
              <w:rPr>
                <w:rFonts w:ascii="Arial" w:hAnsi="Arial" w:cs="Arial"/>
                <w:color w:val="auto"/>
                <w:sz w:val="28"/>
                <w:szCs w:val="28"/>
              </w:rPr>
              <w:t>.</w:t>
            </w:r>
          </w:p>
          <w:p w14:paraId="16A947D3" w14:textId="0F44DAD9" w:rsidR="004D5696" w:rsidRPr="00FB346B" w:rsidRDefault="004D5696" w:rsidP="00E15034">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s="Arial"/>
                <w:color w:val="auto"/>
                <w:sz w:val="28"/>
                <w:szCs w:val="28"/>
              </w:rPr>
            </w:pPr>
            <w:bookmarkStart w:id="2" w:name="_Hlk80703727"/>
            <w:r w:rsidRPr="00FB346B">
              <w:rPr>
                <w:rFonts w:ascii="Arial" w:hAnsi="Arial" w:cs="Arial"/>
                <w:color w:val="auto"/>
                <w:sz w:val="28"/>
                <w:szCs w:val="28"/>
              </w:rPr>
              <w:t xml:space="preserve">Se </w:t>
            </w:r>
            <w:r w:rsidR="00002ECB" w:rsidRPr="00B61B24">
              <w:rPr>
                <w:rFonts w:ascii="Arial" w:hAnsi="Arial" w:cs="Arial"/>
                <w:color w:val="auto"/>
                <w:sz w:val="28"/>
                <w:szCs w:val="28"/>
              </w:rPr>
              <w:t xml:space="preserve">deben solicitar </w:t>
            </w:r>
            <w:r w:rsidRPr="00FB346B">
              <w:rPr>
                <w:rFonts w:ascii="Arial" w:hAnsi="Arial" w:cs="Arial"/>
                <w:color w:val="auto"/>
                <w:sz w:val="28"/>
                <w:szCs w:val="28"/>
              </w:rPr>
              <w:t>informes</w:t>
            </w:r>
            <w:r w:rsidR="00CD2D7B" w:rsidRPr="00FB346B">
              <w:rPr>
                <w:rFonts w:ascii="Arial" w:hAnsi="Arial" w:cs="Arial"/>
                <w:color w:val="auto"/>
                <w:sz w:val="28"/>
                <w:szCs w:val="28"/>
              </w:rPr>
              <w:t>,</w:t>
            </w:r>
            <w:r w:rsidRPr="00FB346B">
              <w:rPr>
                <w:rFonts w:ascii="Arial" w:hAnsi="Arial" w:cs="Arial"/>
                <w:color w:val="auto"/>
                <w:sz w:val="28"/>
                <w:szCs w:val="28"/>
              </w:rPr>
              <w:t xml:space="preserve"> de acuerdo con el artículo 26.5</w:t>
            </w:r>
            <w:r w:rsidR="00002ECB" w:rsidRPr="00FB346B">
              <w:rPr>
                <w:rFonts w:ascii="Arial" w:hAnsi="Arial" w:cs="Arial"/>
                <w:color w:val="auto"/>
                <w:sz w:val="28"/>
                <w:szCs w:val="28"/>
              </w:rPr>
              <w:t xml:space="preserve"> </w:t>
            </w:r>
            <w:r w:rsidRPr="00FB346B">
              <w:rPr>
                <w:rFonts w:ascii="Arial" w:hAnsi="Arial" w:cs="Arial"/>
                <w:color w:val="auto"/>
                <w:sz w:val="28"/>
                <w:szCs w:val="28"/>
              </w:rPr>
              <w:t xml:space="preserve">de la Ley 50/1997, de 27 de noviembre, del Gobierno, a los siguientes departamentos </w:t>
            </w:r>
            <w:r w:rsidR="00F7139E" w:rsidRPr="00FB346B">
              <w:rPr>
                <w:rFonts w:ascii="Arial" w:hAnsi="Arial" w:cs="Arial"/>
                <w:color w:val="auto"/>
                <w:sz w:val="28"/>
                <w:szCs w:val="28"/>
              </w:rPr>
              <w:t>m</w:t>
            </w:r>
            <w:r w:rsidRPr="00FB346B">
              <w:rPr>
                <w:rFonts w:ascii="Arial" w:hAnsi="Arial" w:cs="Arial"/>
                <w:color w:val="auto"/>
                <w:sz w:val="28"/>
                <w:szCs w:val="28"/>
              </w:rPr>
              <w:t>inisteriales:</w:t>
            </w:r>
          </w:p>
          <w:p w14:paraId="77353A92" w14:textId="77777777" w:rsidR="004D5696" w:rsidRPr="00FB346B" w:rsidRDefault="004D5696" w:rsidP="00E15034">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s="Arial"/>
                <w:color w:val="auto"/>
                <w:sz w:val="28"/>
                <w:szCs w:val="28"/>
              </w:rPr>
            </w:pPr>
            <w:bookmarkStart w:id="3" w:name="_Hlk57809874"/>
            <w:r w:rsidRPr="00FB346B">
              <w:rPr>
                <w:rFonts w:ascii="Arial" w:hAnsi="Arial" w:cs="Arial"/>
                <w:color w:val="auto"/>
                <w:sz w:val="28"/>
                <w:szCs w:val="28"/>
              </w:rPr>
              <w:t xml:space="preserve">- Ministerio de </w:t>
            </w:r>
            <w:r w:rsidR="00226476" w:rsidRPr="00FB346B">
              <w:rPr>
                <w:rFonts w:ascii="Arial" w:hAnsi="Arial" w:cs="Arial"/>
                <w:color w:val="auto"/>
                <w:sz w:val="28"/>
                <w:szCs w:val="28"/>
              </w:rPr>
              <w:t>I</w:t>
            </w:r>
            <w:r w:rsidRPr="00FB346B">
              <w:rPr>
                <w:rFonts w:ascii="Arial" w:hAnsi="Arial" w:cs="Arial"/>
                <w:color w:val="auto"/>
                <w:sz w:val="28"/>
                <w:szCs w:val="28"/>
              </w:rPr>
              <w:t>nclusión, Seguridad Social</w:t>
            </w:r>
            <w:r w:rsidR="00135C83" w:rsidRPr="00FB346B">
              <w:rPr>
                <w:rFonts w:ascii="Arial" w:hAnsi="Arial" w:cs="Arial"/>
                <w:color w:val="auto"/>
                <w:sz w:val="28"/>
                <w:szCs w:val="28"/>
              </w:rPr>
              <w:t xml:space="preserve"> y Migraciones.</w:t>
            </w:r>
          </w:p>
          <w:p w14:paraId="5014F9D6" w14:textId="76A82409" w:rsidR="004D5696" w:rsidRPr="00FB346B" w:rsidRDefault="004D5696" w:rsidP="00E15034">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s="Arial"/>
                <w:color w:val="auto"/>
                <w:sz w:val="28"/>
                <w:szCs w:val="28"/>
              </w:rPr>
            </w:pPr>
            <w:r w:rsidRPr="00FB346B">
              <w:rPr>
                <w:rFonts w:ascii="Arial" w:hAnsi="Arial" w:cs="Arial"/>
                <w:color w:val="auto"/>
                <w:sz w:val="28"/>
                <w:szCs w:val="28"/>
              </w:rPr>
              <w:t>-</w:t>
            </w:r>
            <w:r w:rsidR="006D7F0A" w:rsidRPr="00FB346B">
              <w:rPr>
                <w:rFonts w:ascii="Arial" w:hAnsi="Arial" w:cs="Arial"/>
                <w:color w:val="auto"/>
                <w:sz w:val="28"/>
                <w:szCs w:val="28"/>
              </w:rPr>
              <w:t xml:space="preserve"> </w:t>
            </w:r>
            <w:r w:rsidR="00C02A9B" w:rsidRPr="00FB346B">
              <w:rPr>
                <w:rFonts w:ascii="Arial" w:hAnsi="Arial" w:cs="Arial"/>
                <w:color w:val="auto"/>
                <w:sz w:val="28"/>
                <w:szCs w:val="28"/>
              </w:rPr>
              <w:t>Ministerio de Economía, Comercio y Empresa</w:t>
            </w:r>
            <w:r w:rsidR="003E39D6">
              <w:rPr>
                <w:rFonts w:ascii="Arial" w:hAnsi="Arial" w:cs="Arial"/>
                <w:color w:val="auto"/>
                <w:sz w:val="28"/>
                <w:szCs w:val="28"/>
              </w:rPr>
              <w:t>.</w:t>
            </w:r>
          </w:p>
          <w:bookmarkEnd w:id="2"/>
          <w:bookmarkEnd w:id="3"/>
          <w:p w14:paraId="4FC157E4" w14:textId="7D17C3E9" w:rsidR="004D5696" w:rsidRPr="002058ED" w:rsidRDefault="004D5696" w:rsidP="009547A1">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s="Arial"/>
                <w:color w:val="auto"/>
                <w:sz w:val="28"/>
                <w:szCs w:val="28"/>
              </w:rPr>
            </w:pPr>
            <w:r w:rsidRPr="002058ED">
              <w:rPr>
                <w:rFonts w:ascii="Arial" w:hAnsi="Arial" w:cs="Arial"/>
                <w:color w:val="auto"/>
                <w:sz w:val="28"/>
                <w:szCs w:val="28"/>
              </w:rPr>
              <w:t>De acuerdo con lo previsto en los artículos 26.5</w:t>
            </w:r>
            <w:r w:rsidR="00871297" w:rsidRPr="002058ED">
              <w:rPr>
                <w:rFonts w:ascii="Arial" w:hAnsi="Arial" w:cs="Arial"/>
                <w:color w:val="auto"/>
                <w:sz w:val="28"/>
                <w:szCs w:val="28"/>
              </w:rPr>
              <w:t xml:space="preserve">, párrafo cuarto, </w:t>
            </w:r>
            <w:r w:rsidRPr="002058ED">
              <w:rPr>
                <w:rFonts w:ascii="Arial" w:hAnsi="Arial" w:cs="Arial"/>
                <w:color w:val="auto"/>
                <w:sz w:val="28"/>
                <w:szCs w:val="28"/>
              </w:rPr>
              <w:t xml:space="preserve">y </w:t>
            </w:r>
            <w:r w:rsidR="00871297" w:rsidRPr="002058ED">
              <w:rPr>
                <w:rFonts w:ascii="Arial" w:hAnsi="Arial" w:cs="Arial"/>
                <w:color w:val="auto"/>
                <w:sz w:val="28"/>
                <w:szCs w:val="28"/>
              </w:rPr>
              <w:t xml:space="preserve">26.9 </w:t>
            </w:r>
            <w:r w:rsidRPr="002058ED">
              <w:rPr>
                <w:rFonts w:ascii="Arial" w:hAnsi="Arial" w:cs="Arial"/>
                <w:color w:val="auto"/>
                <w:sz w:val="28"/>
                <w:szCs w:val="28"/>
              </w:rPr>
              <w:t xml:space="preserve">de la </w:t>
            </w:r>
            <w:r w:rsidR="00CD2D7B" w:rsidRPr="002058ED">
              <w:rPr>
                <w:rFonts w:ascii="Arial" w:hAnsi="Arial" w:cs="Arial"/>
                <w:color w:val="auto"/>
                <w:sz w:val="28"/>
                <w:szCs w:val="28"/>
              </w:rPr>
              <w:t>Ley</w:t>
            </w:r>
            <w:r w:rsidR="00871297" w:rsidRPr="002058ED">
              <w:rPr>
                <w:rFonts w:ascii="Arial" w:hAnsi="Arial" w:cs="Arial"/>
                <w:color w:val="auto"/>
                <w:sz w:val="28"/>
                <w:szCs w:val="28"/>
              </w:rPr>
              <w:t xml:space="preserve"> del Gobierno, </w:t>
            </w:r>
            <w:r w:rsidRPr="002058ED">
              <w:rPr>
                <w:rFonts w:ascii="Arial" w:hAnsi="Arial" w:cs="Arial"/>
                <w:color w:val="auto"/>
                <w:sz w:val="28"/>
                <w:szCs w:val="28"/>
              </w:rPr>
              <w:t xml:space="preserve">se </w:t>
            </w:r>
            <w:r w:rsidR="00002ECB" w:rsidRPr="002058ED">
              <w:rPr>
                <w:rFonts w:ascii="Arial" w:hAnsi="Arial" w:cs="Arial"/>
                <w:color w:val="auto"/>
                <w:sz w:val="28"/>
                <w:szCs w:val="28"/>
              </w:rPr>
              <w:t>deben recabar, además,</w:t>
            </w:r>
            <w:r w:rsidR="00E97D03" w:rsidRPr="002058ED">
              <w:rPr>
                <w:rFonts w:ascii="Arial" w:hAnsi="Arial" w:cs="Arial"/>
                <w:color w:val="auto"/>
                <w:sz w:val="28"/>
                <w:szCs w:val="28"/>
              </w:rPr>
              <w:t xml:space="preserve"> </w:t>
            </w:r>
            <w:r w:rsidR="000915E6" w:rsidRPr="002058ED">
              <w:rPr>
                <w:rFonts w:ascii="Arial" w:hAnsi="Arial" w:cs="Arial"/>
                <w:color w:val="auto"/>
                <w:sz w:val="28"/>
                <w:szCs w:val="28"/>
              </w:rPr>
              <w:t>los informes</w:t>
            </w:r>
            <w:r w:rsidRPr="002058ED">
              <w:rPr>
                <w:rFonts w:ascii="Arial" w:hAnsi="Arial" w:cs="Arial"/>
                <w:color w:val="auto"/>
                <w:sz w:val="28"/>
                <w:szCs w:val="28"/>
              </w:rPr>
              <w:t xml:space="preserve"> </w:t>
            </w:r>
            <w:r w:rsidR="00E97D03" w:rsidRPr="002058ED">
              <w:rPr>
                <w:rFonts w:ascii="Arial" w:hAnsi="Arial" w:cs="Arial"/>
                <w:color w:val="auto"/>
                <w:sz w:val="28"/>
                <w:szCs w:val="28"/>
              </w:rPr>
              <w:t>de</w:t>
            </w:r>
            <w:r w:rsidRPr="002058ED">
              <w:rPr>
                <w:rFonts w:ascii="Arial" w:hAnsi="Arial" w:cs="Arial"/>
                <w:color w:val="auto"/>
                <w:sz w:val="28"/>
                <w:szCs w:val="28"/>
              </w:rPr>
              <w:t>:</w:t>
            </w:r>
          </w:p>
          <w:p w14:paraId="475594CD" w14:textId="77777777" w:rsidR="004D5696" w:rsidRPr="00FB346B" w:rsidRDefault="004D5696" w:rsidP="009547A1">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s="Arial"/>
                <w:color w:val="auto"/>
                <w:sz w:val="28"/>
                <w:szCs w:val="28"/>
              </w:rPr>
            </w:pPr>
            <w:r w:rsidRPr="00FB346B">
              <w:rPr>
                <w:rFonts w:ascii="Arial" w:hAnsi="Arial" w:cs="Arial"/>
                <w:color w:val="auto"/>
                <w:sz w:val="28"/>
                <w:szCs w:val="28"/>
              </w:rPr>
              <w:t>- La Secretaría General Técnica del Ministerio de Trabajo y Economía Social</w:t>
            </w:r>
            <w:r w:rsidR="00CD2D7B" w:rsidRPr="00FB346B">
              <w:rPr>
                <w:rFonts w:ascii="Arial" w:hAnsi="Arial" w:cs="Arial"/>
                <w:color w:val="auto"/>
                <w:sz w:val="28"/>
                <w:szCs w:val="28"/>
              </w:rPr>
              <w:t>.</w:t>
            </w:r>
          </w:p>
          <w:p w14:paraId="393A678C" w14:textId="77777777" w:rsidR="0014202B" w:rsidRPr="00FB346B" w:rsidRDefault="004D5696" w:rsidP="00D66F6F">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s="Arial"/>
                <w:color w:val="FF0000"/>
                <w:sz w:val="28"/>
                <w:szCs w:val="28"/>
              </w:rPr>
            </w:pPr>
            <w:r w:rsidRPr="00FB346B">
              <w:rPr>
                <w:rFonts w:ascii="Arial" w:hAnsi="Arial" w:cs="Arial"/>
                <w:color w:val="auto"/>
                <w:sz w:val="28"/>
                <w:szCs w:val="28"/>
              </w:rPr>
              <w:lastRenderedPageBreak/>
              <w:t xml:space="preserve">- </w:t>
            </w:r>
            <w:r w:rsidR="000915E6" w:rsidRPr="00FB346B">
              <w:rPr>
                <w:rFonts w:ascii="Arial" w:hAnsi="Arial" w:cs="Arial"/>
                <w:color w:val="auto"/>
                <w:sz w:val="28"/>
                <w:szCs w:val="28"/>
              </w:rPr>
              <w:t>La Of</w:t>
            </w:r>
            <w:r w:rsidR="00010A26" w:rsidRPr="00FB346B">
              <w:rPr>
                <w:rFonts w:ascii="Arial" w:hAnsi="Arial" w:cs="Arial"/>
                <w:color w:val="auto"/>
                <w:sz w:val="28"/>
                <w:szCs w:val="28"/>
              </w:rPr>
              <w:t xml:space="preserve">icina de </w:t>
            </w:r>
            <w:r w:rsidR="00010A26" w:rsidRPr="00FB346B">
              <w:rPr>
                <w:rFonts w:ascii="Arial" w:hAnsi="Arial" w:cs="Arial"/>
                <w:color w:val="auto"/>
                <w:sz w:val="28"/>
                <w:szCs w:val="28"/>
                <w:lang w:val="es-ES"/>
              </w:rPr>
              <w:t xml:space="preserve">Coordinación y Calidad Normativa del Ministerio </w:t>
            </w:r>
            <w:r w:rsidR="00135C83" w:rsidRPr="00FB346B">
              <w:rPr>
                <w:rFonts w:ascii="Arial" w:hAnsi="Arial" w:cs="Arial"/>
                <w:color w:val="auto"/>
                <w:sz w:val="28"/>
                <w:szCs w:val="28"/>
                <w:lang w:val="es-ES"/>
              </w:rPr>
              <w:t>de la Presidencia, Relaciones con las Cortes y Memoria Democrática</w:t>
            </w:r>
            <w:r w:rsidR="00D66F6F" w:rsidRPr="00FB346B">
              <w:rPr>
                <w:rFonts w:ascii="Arial" w:hAnsi="Arial" w:cs="Arial"/>
                <w:color w:val="auto"/>
                <w:sz w:val="28"/>
                <w:szCs w:val="28"/>
                <w:lang w:val="es-ES"/>
              </w:rPr>
              <w:t>.</w:t>
            </w:r>
          </w:p>
        </w:tc>
      </w:tr>
      <w:tr w:rsidR="00E00019" w:rsidRPr="00014623" w14:paraId="3600B98D" w14:textId="77777777" w:rsidTr="003E39D6">
        <w:trPr>
          <w:cantSplit/>
          <w:trHeight w:val="491"/>
        </w:trPr>
        <w:tc>
          <w:tcPr>
            <w:tcW w:w="308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F4E848A"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b/>
                <w:color w:val="auto"/>
                <w:sz w:val="28"/>
                <w:szCs w:val="28"/>
              </w:rPr>
            </w:pPr>
            <w:r w:rsidRPr="00ED133C">
              <w:rPr>
                <w:rFonts w:ascii="Arial" w:hAnsi="Arial" w:cs="Arial"/>
                <w:b/>
                <w:color w:val="auto"/>
                <w:sz w:val="28"/>
                <w:szCs w:val="28"/>
              </w:rPr>
              <w:lastRenderedPageBreak/>
              <w:t>Tr</w:t>
            </w:r>
            <w:r w:rsidR="00024592" w:rsidRPr="00ED133C">
              <w:rPr>
                <w:rFonts w:ascii="Arial" w:hAnsi="Arial" w:cs="Arial"/>
                <w:b/>
                <w:color w:val="auto"/>
                <w:sz w:val="28"/>
                <w:szCs w:val="28"/>
              </w:rPr>
              <w:t>á</w:t>
            </w:r>
            <w:r w:rsidRPr="00ED133C">
              <w:rPr>
                <w:rFonts w:ascii="Arial" w:hAnsi="Arial" w:cs="Arial"/>
                <w:b/>
                <w:color w:val="auto"/>
                <w:sz w:val="28"/>
                <w:szCs w:val="28"/>
              </w:rPr>
              <w:t>mite de audiencia</w:t>
            </w:r>
            <w:r w:rsidR="00EC0188" w:rsidRPr="00ED133C">
              <w:rPr>
                <w:rFonts w:ascii="Arial" w:hAnsi="Arial" w:cs="Arial"/>
                <w:b/>
                <w:color w:val="auto"/>
                <w:sz w:val="28"/>
                <w:szCs w:val="28"/>
              </w:rPr>
              <w:t xml:space="preserve"> e información pública</w:t>
            </w:r>
          </w:p>
        </w:tc>
        <w:tc>
          <w:tcPr>
            <w:tcW w:w="6018"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623F79CC" w14:textId="67482551" w:rsidR="003648EC" w:rsidRPr="002058ED" w:rsidRDefault="001F5CAE" w:rsidP="003648E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s="Arial"/>
                <w:color w:val="auto"/>
                <w:sz w:val="28"/>
                <w:szCs w:val="28"/>
                <w:lang w:val="es-ES"/>
              </w:rPr>
            </w:pPr>
            <w:r w:rsidRPr="002058ED">
              <w:rPr>
                <w:rFonts w:ascii="Arial" w:hAnsi="Arial" w:cs="Arial"/>
                <w:color w:val="auto"/>
                <w:sz w:val="28"/>
                <w:szCs w:val="28"/>
                <w:lang w:val="es-ES"/>
              </w:rPr>
              <w:t xml:space="preserve">El proyecto de real decreto </w:t>
            </w:r>
            <w:r w:rsidR="00FB346B" w:rsidRPr="002058ED">
              <w:rPr>
                <w:rFonts w:ascii="Arial" w:hAnsi="Arial" w:cs="Arial"/>
                <w:color w:val="auto"/>
                <w:sz w:val="28"/>
                <w:szCs w:val="28"/>
                <w:lang w:val="es-ES"/>
              </w:rPr>
              <w:t>ha sido</w:t>
            </w:r>
            <w:r w:rsidR="005717C2" w:rsidRPr="002058ED">
              <w:rPr>
                <w:rFonts w:ascii="Arial" w:hAnsi="Arial" w:cs="Arial"/>
                <w:color w:val="auto"/>
                <w:sz w:val="28"/>
                <w:szCs w:val="28"/>
                <w:lang w:val="es-ES"/>
              </w:rPr>
              <w:t xml:space="preserve"> </w:t>
            </w:r>
            <w:r w:rsidRPr="002058ED">
              <w:rPr>
                <w:rFonts w:ascii="Arial" w:hAnsi="Arial" w:cs="Arial"/>
                <w:color w:val="auto"/>
                <w:sz w:val="28"/>
                <w:szCs w:val="28"/>
                <w:lang w:val="es-ES"/>
              </w:rPr>
              <w:t>publicado en el portal web del</w:t>
            </w:r>
            <w:r w:rsidR="004D5696" w:rsidRPr="002058ED">
              <w:rPr>
                <w:rFonts w:ascii="Arial" w:hAnsi="Arial" w:cs="Arial"/>
                <w:color w:val="auto"/>
                <w:sz w:val="28"/>
                <w:szCs w:val="28"/>
                <w:lang w:val="es-ES"/>
              </w:rPr>
              <w:t xml:space="preserve"> M</w:t>
            </w:r>
            <w:r w:rsidR="00EC0188" w:rsidRPr="002058ED">
              <w:rPr>
                <w:rFonts w:ascii="Arial" w:hAnsi="Arial" w:cs="Arial"/>
                <w:color w:val="auto"/>
                <w:sz w:val="28"/>
                <w:szCs w:val="28"/>
                <w:lang w:val="es-ES"/>
              </w:rPr>
              <w:t>ITES</w:t>
            </w:r>
            <w:r w:rsidRPr="002058ED">
              <w:rPr>
                <w:rFonts w:ascii="Arial" w:hAnsi="Arial" w:cs="Arial"/>
                <w:color w:val="auto"/>
                <w:sz w:val="28"/>
                <w:szCs w:val="28"/>
                <w:lang w:val="es-ES"/>
              </w:rPr>
              <w:t>, a efectos de audiencia</w:t>
            </w:r>
            <w:r w:rsidR="00CD2D7B" w:rsidRPr="002058ED">
              <w:rPr>
                <w:rFonts w:ascii="Arial" w:hAnsi="Arial" w:cs="Arial"/>
                <w:color w:val="auto"/>
                <w:sz w:val="28"/>
                <w:szCs w:val="28"/>
                <w:lang w:val="es-ES"/>
              </w:rPr>
              <w:t xml:space="preserve"> e información</w:t>
            </w:r>
            <w:r w:rsidRPr="002058ED">
              <w:rPr>
                <w:rFonts w:ascii="Arial" w:hAnsi="Arial" w:cs="Arial"/>
                <w:color w:val="auto"/>
                <w:sz w:val="28"/>
                <w:szCs w:val="28"/>
                <w:lang w:val="es-ES"/>
              </w:rPr>
              <w:t xml:space="preserve"> pública</w:t>
            </w:r>
            <w:r w:rsidR="00D66F6F" w:rsidRPr="002058ED">
              <w:rPr>
                <w:rFonts w:ascii="Arial" w:hAnsi="Arial" w:cs="Arial"/>
                <w:color w:val="auto"/>
                <w:sz w:val="28"/>
                <w:szCs w:val="28"/>
                <w:lang w:val="es-ES"/>
              </w:rPr>
              <w:t xml:space="preserve"> durante</w:t>
            </w:r>
            <w:r w:rsidR="000915E6" w:rsidRPr="002058ED">
              <w:rPr>
                <w:rFonts w:ascii="Arial" w:hAnsi="Arial" w:cs="Arial"/>
                <w:color w:val="auto"/>
                <w:sz w:val="28"/>
                <w:szCs w:val="28"/>
                <w:lang w:val="es-ES"/>
              </w:rPr>
              <w:t xml:space="preserve"> 7 días, de conformidad con lo previsto en el artículo 26.6 Ley 50/1997, de 27 de noviembre</w:t>
            </w:r>
            <w:r w:rsidR="005717C2" w:rsidRPr="002058ED">
              <w:rPr>
                <w:rFonts w:ascii="Arial" w:hAnsi="Arial" w:cs="Arial"/>
                <w:color w:val="auto"/>
                <w:sz w:val="28"/>
                <w:szCs w:val="28"/>
                <w:lang w:val="es-ES"/>
              </w:rPr>
              <w:t>.</w:t>
            </w:r>
          </w:p>
          <w:p w14:paraId="383074E1" w14:textId="053FE7AC" w:rsidR="00E00019" w:rsidRPr="002058ED" w:rsidRDefault="00BE02E3" w:rsidP="003648E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s="Arial"/>
                <w:color w:val="auto"/>
                <w:sz w:val="28"/>
                <w:szCs w:val="28"/>
              </w:rPr>
            </w:pPr>
            <w:r w:rsidRPr="002058ED">
              <w:rPr>
                <w:rFonts w:ascii="Arial" w:hAnsi="Arial" w:cs="Arial"/>
                <w:color w:val="auto"/>
                <w:sz w:val="28"/>
                <w:szCs w:val="28"/>
                <w:lang w:val="es-ES"/>
              </w:rPr>
              <w:t>El proyecto</w:t>
            </w:r>
            <w:r w:rsidR="00CD2D7B" w:rsidRPr="002058ED">
              <w:rPr>
                <w:rFonts w:ascii="Arial" w:hAnsi="Arial" w:cs="Arial"/>
                <w:color w:val="auto"/>
                <w:sz w:val="28"/>
                <w:szCs w:val="28"/>
                <w:lang w:val="es-ES"/>
              </w:rPr>
              <w:t>,</w:t>
            </w:r>
            <w:r w:rsidRPr="002058ED">
              <w:rPr>
                <w:rFonts w:ascii="Arial" w:hAnsi="Arial" w:cs="Arial"/>
                <w:color w:val="auto"/>
                <w:sz w:val="28"/>
                <w:szCs w:val="28"/>
                <w:lang w:val="es-ES"/>
              </w:rPr>
              <w:t xml:space="preserve"> de acuerdo con lo previsto </w:t>
            </w:r>
            <w:r w:rsidR="00EC0188" w:rsidRPr="002058ED">
              <w:rPr>
                <w:rFonts w:ascii="Arial" w:hAnsi="Arial" w:cs="Arial"/>
                <w:color w:val="auto"/>
                <w:sz w:val="28"/>
                <w:szCs w:val="28"/>
                <w:lang w:val="es-ES"/>
              </w:rPr>
              <w:t>en el artículo 27.1</w:t>
            </w:r>
            <w:r w:rsidR="00135C83" w:rsidRPr="002058ED">
              <w:rPr>
                <w:rFonts w:ascii="Arial" w:hAnsi="Arial" w:cs="Arial"/>
                <w:color w:val="auto"/>
                <w:sz w:val="28"/>
                <w:szCs w:val="28"/>
                <w:lang w:val="es-ES"/>
              </w:rPr>
              <w:t xml:space="preserve"> del Estatuto de los Trabajadores</w:t>
            </w:r>
            <w:r w:rsidR="00EC0188" w:rsidRPr="002058ED">
              <w:rPr>
                <w:rFonts w:ascii="Arial" w:hAnsi="Arial" w:cs="Arial"/>
                <w:color w:val="auto"/>
                <w:sz w:val="28"/>
                <w:szCs w:val="28"/>
                <w:lang w:val="es-ES"/>
              </w:rPr>
              <w:t>,</w:t>
            </w:r>
            <w:r w:rsidR="00010A26" w:rsidRPr="002058ED">
              <w:rPr>
                <w:rFonts w:ascii="Arial" w:hAnsi="Arial" w:cs="Arial"/>
                <w:color w:val="auto"/>
                <w:sz w:val="28"/>
                <w:szCs w:val="28"/>
                <w:lang w:val="es-ES"/>
              </w:rPr>
              <w:t xml:space="preserve"> </w:t>
            </w:r>
            <w:r w:rsidR="00002ECB" w:rsidRPr="002058ED">
              <w:rPr>
                <w:rFonts w:ascii="Arial" w:hAnsi="Arial" w:cs="Arial"/>
                <w:color w:val="auto"/>
                <w:sz w:val="28"/>
                <w:szCs w:val="28"/>
                <w:lang w:val="es-ES"/>
              </w:rPr>
              <w:t>debe consultarse a</w:t>
            </w:r>
            <w:r w:rsidR="00010A26" w:rsidRPr="002058ED">
              <w:rPr>
                <w:rFonts w:ascii="Arial" w:hAnsi="Arial" w:cs="Arial"/>
                <w:color w:val="auto"/>
                <w:sz w:val="28"/>
                <w:szCs w:val="28"/>
                <w:lang w:val="es-ES"/>
              </w:rPr>
              <w:t xml:space="preserve"> las organizaciones empresariales y sindicales m</w:t>
            </w:r>
            <w:r w:rsidR="00010A26" w:rsidRPr="002058ED">
              <w:rPr>
                <w:rFonts w:ascii="Arial" w:hAnsi="Arial" w:cs="Arial" w:hint="cs"/>
                <w:color w:val="auto"/>
                <w:sz w:val="28"/>
                <w:szCs w:val="28"/>
                <w:lang w:val="es-ES"/>
              </w:rPr>
              <w:t>á</w:t>
            </w:r>
            <w:r w:rsidR="00010A26" w:rsidRPr="002058ED">
              <w:rPr>
                <w:rFonts w:ascii="Arial" w:hAnsi="Arial" w:cs="Arial"/>
                <w:color w:val="auto"/>
                <w:sz w:val="28"/>
                <w:szCs w:val="28"/>
                <w:lang w:val="es-ES"/>
              </w:rPr>
              <w:t>s representativa</w:t>
            </w:r>
            <w:r w:rsidR="00B129A4" w:rsidRPr="002058ED">
              <w:rPr>
                <w:rFonts w:ascii="Arial" w:hAnsi="Arial" w:cs="Arial"/>
                <w:color w:val="auto"/>
                <w:sz w:val="28"/>
                <w:szCs w:val="28"/>
                <w:lang w:val="es-ES"/>
              </w:rPr>
              <w:t>s</w:t>
            </w:r>
            <w:r w:rsidR="00CD2D7B" w:rsidRPr="002058ED">
              <w:rPr>
                <w:rFonts w:ascii="Arial" w:hAnsi="Arial" w:cs="Arial"/>
                <w:color w:val="auto"/>
                <w:sz w:val="28"/>
                <w:szCs w:val="28"/>
                <w:lang w:val="es-ES"/>
              </w:rPr>
              <w:t>.</w:t>
            </w:r>
          </w:p>
        </w:tc>
      </w:tr>
      <w:tr w:rsidR="00E00019" w:rsidRPr="00014623" w14:paraId="74714E47" w14:textId="77777777" w:rsidTr="001467E6">
        <w:tc>
          <w:tcPr>
            <w:tcW w:w="9105" w:type="dxa"/>
            <w:gridSpan w:val="5"/>
            <w:tcBorders>
              <w:top w:val="single" w:sz="16" w:space="0" w:color="000000"/>
              <w:left w:val="single" w:sz="32" w:space="0" w:color="000000"/>
              <w:bottom w:val="single" w:sz="16" w:space="0" w:color="000000"/>
              <w:right w:val="single" w:sz="32" w:space="0" w:color="000000"/>
            </w:tcBorders>
            <w:shd w:val="clear" w:color="auto" w:fill="F2D904"/>
            <w:tcMar>
              <w:top w:w="100" w:type="dxa"/>
              <w:left w:w="100" w:type="dxa"/>
              <w:bottom w:w="100" w:type="dxa"/>
              <w:right w:w="100" w:type="dxa"/>
            </w:tcMar>
          </w:tcPr>
          <w:p w14:paraId="54DB1995" w14:textId="77777777" w:rsidR="00E00019" w:rsidRPr="00ED133C" w:rsidRDefault="00387FD0" w:rsidP="001467E6">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Arial" w:hAnsi="Arial" w:cs="Arial"/>
                <w:b/>
                <w:color w:val="auto"/>
                <w:sz w:val="28"/>
                <w:szCs w:val="28"/>
              </w:rPr>
            </w:pPr>
            <w:r w:rsidRPr="00ED133C">
              <w:rPr>
                <w:rFonts w:ascii="Arial" w:hAnsi="Arial" w:cs="Arial"/>
                <w:b/>
                <w:color w:val="auto"/>
                <w:sz w:val="28"/>
                <w:szCs w:val="28"/>
              </w:rPr>
              <w:t>ANÁLISIS</w:t>
            </w:r>
            <w:r w:rsidR="00E00019" w:rsidRPr="00ED133C">
              <w:rPr>
                <w:rFonts w:ascii="Arial" w:hAnsi="Arial" w:cs="Arial"/>
                <w:b/>
                <w:color w:val="auto"/>
                <w:sz w:val="28"/>
                <w:szCs w:val="28"/>
              </w:rPr>
              <w:t xml:space="preserve"> DE IMPACTOS</w:t>
            </w:r>
          </w:p>
        </w:tc>
      </w:tr>
      <w:tr w:rsidR="00E00019" w:rsidRPr="00014623" w14:paraId="5D2378EE" w14:textId="77777777" w:rsidTr="003E39D6">
        <w:tc>
          <w:tcPr>
            <w:tcW w:w="308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9D5023D" w14:textId="77777777" w:rsidR="00E00019" w:rsidRPr="00ED133C" w:rsidRDefault="00E00019" w:rsidP="001467E6">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b/>
                <w:color w:val="auto"/>
                <w:sz w:val="28"/>
                <w:szCs w:val="28"/>
              </w:rPr>
            </w:pPr>
            <w:r w:rsidRPr="00ED133C">
              <w:rPr>
                <w:rFonts w:ascii="Arial" w:hAnsi="Arial" w:cs="Arial"/>
                <w:b/>
                <w:color w:val="auto"/>
                <w:sz w:val="28"/>
                <w:szCs w:val="28"/>
              </w:rPr>
              <w:t>ADECUACIÓN AL ORDEN DE COMPETENCIAS</w:t>
            </w:r>
          </w:p>
        </w:tc>
        <w:tc>
          <w:tcPr>
            <w:tcW w:w="6018"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BC3AF29" w14:textId="122B069A" w:rsidR="00E00019" w:rsidRPr="00ED133C" w:rsidRDefault="00E00019" w:rsidP="001467E6">
            <w:pPr>
              <w:pStyle w:val="Cuerpo"/>
              <w:keepLines/>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s="Arial"/>
                <w:color w:val="auto"/>
                <w:sz w:val="28"/>
                <w:szCs w:val="28"/>
                <w:lang w:val="es-ES"/>
              </w:rPr>
            </w:pPr>
            <w:r w:rsidRPr="00ED133C">
              <w:rPr>
                <w:rFonts w:ascii="Arial" w:hAnsi="Arial" w:cs="Arial"/>
                <w:color w:val="auto"/>
                <w:sz w:val="28"/>
                <w:szCs w:val="28"/>
              </w:rPr>
              <w:t>El título competencial a cuyo amparo se dicta esta norma es el artículo 149.</w:t>
            </w:r>
            <w:proofErr w:type="gramStart"/>
            <w:r w:rsidR="000B7C81" w:rsidRPr="00ED133C">
              <w:rPr>
                <w:rFonts w:ascii="Arial" w:hAnsi="Arial" w:cs="Arial"/>
                <w:color w:val="auto"/>
                <w:sz w:val="28"/>
                <w:szCs w:val="28"/>
              </w:rPr>
              <w:t>1.7ª</w:t>
            </w:r>
            <w:proofErr w:type="gramEnd"/>
            <w:r w:rsidRPr="00ED133C">
              <w:rPr>
                <w:rFonts w:ascii="Arial" w:hAnsi="Arial" w:cs="Arial"/>
                <w:color w:val="auto"/>
                <w:sz w:val="28"/>
                <w:szCs w:val="28"/>
              </w:rPr>
              <w:t xml:space="preserve"> CE, que atribuye competencia exclusiva al Estado en materia de legislación laboral, sin perjuicio de su ejecución por los órganos de las Comunidades Autónomas. </w:t>
            </w:r>
          </w:p>
        </w:tc>
      </w:tr>
      <w:tr w:rsidR="00E00019" w:rsidRPr="00014623" w14:paraId="1D8A760C" w14:textId="77777777" w:rsidTr="003E39D6">
        <w:trPr>
          <w:cantSplit/>
          <w:trHeight w:val="440"/>
        </w:trPr>
        <w:tc>
          <w:tcPr>
            <w:tcW w:w="3087" w:type="dxa"/>
            <w:vMerge w:val="restart"/>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4E335C7"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b/>
                <w:color w:val="auto"/>
                <w:sz w:val="28"/>
                <w:szCs w:val="28"/>
              </w:rPr>
            </w:pPr>
            <w:r w:rsidRPr="00ED133C">
              <w:rPr>
                <w:rFonts w:ascii="Arial" w:hAnsi="Arial" w:cs="Arial"/>
                <w:b/>
                <w:color w:val="auto"/>
                <w:sz w:val="28"/>
                <w:szCs w:val="28"/>
              </w:rPr>
              <w:lastRenderedPageBreak/>
              <w:t>IMPACTO ECONÓMICO Y PRESUPUESTARIO</w:t>
            </w:r>
          </w:p>
        </w:tc>
        <w:tc>
          <w:tcPr>
            <w:tcW w:w="2711" w:type="dxa"/>
            <w:gridSpan w:val="2"/>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0B92DBAD"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color w:val="auto"/>
                <w:sz w:val="28"/>
                <w:szCs w:val="28"/>
              </w:rPr>
              <w:t>Efectos sobre la economía en general</w:t>
            </w:r>
            <w:r w:rsidR="00CD2D7B" w:rsidRPr="00ED133C">
              <w:rPr>
                <w:rFonts w:ascii="Arial" w:hAnsi="Arial" w:cs="Arial"/>
                <w:color w:val="auto"/>
                <w:sz w:val="28"/>
                <w:szCs w:val="28"/>
              </w:rPr>
              <w:t>:</w:t>
            </w:r>
          </w:p>
        </w:tc>
        <w:tc>
          <w:tcPr>
            <w:tcW w:w="3307" w:type="dxa"/>
            <w:gridSpan w:val="2"/>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1C024129" w14:textId="7AEC2E92" w:rsidR="00E00019" w:rsidRPr="00ED133C" w:rsidRDefault="00715200" w:rsidP="001D577E">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s="Arial"/>
                <w:color w:val="auto"/>
                <w:sz w:val="28"/>
                <w:szCs w:val="28"/>
              </w:rPr>
            </w:pPr>
            <w:r w:rsidRPr="00ED133C">
              <w:rPr>
                <w:rFonts w:ascii="Arial" w:hAnsi="Arial" w:cs="Arial"/>
                <w:color w:val="auto"/>
                <w:sz w:val="28"/>
                <w:szCs w:val="28"/>
              </w:rPr>
              <w:t>La norma tiene impacto sobre la economía general derivado del impacto directo en los trabajadores con retribuciones inferiores al nuevo SMI, en sus empresas y en determinados aspectos presupuestarios que se detallan en la Memoria.</w:t>
            </w:r>
          </w:p>
        </w:tc>
      </w:tr>
      <w:tr w:rsidR="00E00019" w:rsidRPr="00014623" w14:paraId="0FCB6FFE" w14:textId="77777777" w:rsidTr="003E39D6">
        <w:trPr>
          <w:cantSplit/>
          <w:trHeight w:val="2000"/>
        </w:trPr>
        <w:tc>
          <w:tcPr>
            <w:tcW w:w="3087"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63DF6E05"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p>
        </w:tc>
        <w:tc>
          <w:tcPr>
            <w:tcW w:w="2711" w:type="dxa"/>
            <w:gridSpan w:val="2"/>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0D8C907C"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color w:val="auto"/>
                <w:sz w:val="28"/>
                <w:szCs w:val="28"/>
              </w:rPr>
              <w:t>En relación con la competencia</w:t>
            </w:r>
            <w:r w:rsidR="00CD2D7B" w:rsidRPr="00ED133C">
              <w:rPr>
                <w:rFonts w:ascii="Arial" w:hAnsi="Arial" w:cs="Arial"/>
                <w:color w:val="auto"/>
                <w:sz w:val="28"/>
                <w:szCs w:val="28"/>
              </w:rPr>
              <w:t>:</w:t>
            </w:r>
          </w:p>
        </w:tc>
        <w:tc>
          <w:tcPr>
            <w:tcW w:w="3307" w:type="dxa"/>
            <w:gridSpan w:val="2"/>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648F9047"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color w:val="auto"/>
                <w:sz w:val="28"/>
                <w:szCs w:val="28"/>
              </w:rPr>
              <w:t xml:space="preserve"> </w:t>
            </w:r>
            <w:r w:rsidR="00F840B1" w:rsidRPr="00ED133C">
              <w:rPr>
                <w:rFonts w:ascii="Arial" w:hAnsi="Arial" w:cs="Arial"/>
                <w:noProof/>
                <w:color w:val="auto"/>
                <w:sz w:val="28"/>
                <w:szCs w:val="28"/>
                <w:lang w:val="es-ES" w:eastAsia="es-ES"/>
              </w:rPr>
              <mc:AlternateContent>
                <mc:Choice Requires="wps">
                  <w:drawing>
                    <wp:inline distT="0" distB="0" distL="0" distR="0" wp14:anchorId="68F106AE" wp14:editId="019A356E">
                      <wp:extent cx="132080" cy="142240"/>
                      <wp:effectExtent l="9525" t="9525" r="10795" b="10160"/>
                      <wp:docPr id="1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solidFill>
                                <a:srgbClr val="000000"/>
                              </a:solidFill>
                              <a:ln w="12700">
                                <a:solidFill>
                                  <a:srgbClr val="000000"/>
                                </a:solidFill>
                                <a:miter lim="800000"/>
                                <a:headEnd/>
                                <a:tailEnd/>
                              </a:ln>
                            </wps:spPr>
                            <wps:txbx>
                              <w:txbxContent>
                                <w:p w14:paraId="098275AB" w14:textId="77777777" w:rsidR="00C05533" w:rsidRDefault="00C05533" w:rsidP="00387FD0">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68F106AE" id="Rectangle 31" o:spid="_x0000_s1028"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" fillcolor="black" strokeweight="1pt">
                      <v:path arrowok="t"/>
                      <v:textbox inset="8pt,8pt,8pt,8pt">
                        <w:txbxContent>
                          <w:p w14:paraId="098275AB" w14:textId="77777777" w:rsidR="00C05533" w:rsidRDefault="00C05533" w:rsidP="00387FD0">
                            <w:pPr>
                              <w:pStyle w:val="Formatolibre"/>
                              <w:rPr>
                                <w:rFonts w:ascii="Times New Roman" w:hAnsi="Times New Roman"/>
                                <w:noProof/>
                                <w:color w:val="auto"/>
                                <w:sz w:val="20"/>
                                <w:lang w:val="es-ES" w:eastAsia="es-ES"/>
                              </w:rPr>
                            </w:pPr>
                          </w:p>
                        </w:txbxContent>
                      </v:textbox>
                      <w10:anchorlock/>
                    </v:rect>
                  </w:pict>
                </mc:Fallback>
              </mc:AlternateContent>
            </w:r>
            <w:r w:rsidR="00CD2D7B" w:rsidRPr="00ED133C">
              <w:rPr>
                <w:rFonts w:ascii="Arial" w:hAnsi="Arial" w:cs="Arial"/>
                <w:color w:val="auto"/>
                <w:sz w:val="28"/>
                <w:szCs w:val="28"/>
              </w:rPr>
              <w:t xml:space="preserve"> </w:t>
            </w:r>
            <w:r w:rsidRPr="00ED133C">
              <w:rPr>
                <w:rFonts w:ascii="Arial" w:hAnsi="Arial" w:cs="Arial"/>
                <w:color w:val="auto"/>
                <w:sz w:val="28"/>
                <w:szCs w:val="28"/>
              </w:rPr>
              <w:t>la norma no tiene efectos significativos sobre la competencia.</w:t>
            </w:r>
          </w:p>
          <w:p w14:paraId="729EEC93" w14:textId="77777777" w:rsidR="00E00019" w:rsidRPr="00ED133C" w:rsidRDefault="00F840B1"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noProof/>
                <w:color w:val="auto"/>
                <w:sz w:val="28"/>
                <w:szCs w:val="28"/>
                <w:lang w:val="es-ES" w:eastAsia="es-ES"/>
              </w:rPr>
              <mc:AlternateContent>
                <mc:Choice Requires="wps">
                  <w:drawing>
                    <wp:inline distT="0" distB="0" distL="0" distR="0" wp14:anchorId="140065E0" wp14:editId="6E50FC98">
                      <wp:extent cx="132080" cy="142240"/>
                      <wp:effectExtent l="9525" t="9525" r="10795" b="10160"/>
                      <wp:docPr id="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24ECC0" w14:textId="77777777" w:rsidR="00C05533" w:rsidRDefault="00C05533" w:rsidP="00E00019">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140065E0" id="Rectangle 28" o:spid="_x0000_s1029"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" filled="f" strokeweight="1pt">
                      <v:path arrowok="t"/>
                      <v:textbox inset="8pt,8pt,8pt,8pt">
                        <w:txbxContent>
                          <w:p w14:paraId="3D24ECC0" w14:textId="77777777" w:rsidR="00C05533" w:rsidRDefault="00C05533" w:rsidP="00E00019">
                            <w:pPr>
                              <w:pStyle w:val="Formatolibre"/>
                              <w:rPr>
                                <w:rFonts w:ascii="Times New Roman" w:hAnsi="Times New Roman"/>
                                <w:noProof/>
                                <w:color w:val="auto"/>
                                <w:sz w:val="20"/>
                                <w:lang w:val="es-ES" w:eastAsia="es-ES"/>
                              </w:rPr>
                            </w:pPr>
                          </w:p>
                        </w:txbxContent>
                      </v:textbox>
                      <w10:anchorlock/>
                    </v:rect>
                  </w:pict>
                </mc:Fallback>
              </mc:AlternateContent>
            </w:r>
            <w:r w:rsidR="00E00019" w:rsidRPr="00ED133C">
              <w:rPr>
                <w:rFonts w:ascii="Arial" w:hAnsi="Arial" w:cs="Arial"/>
                <w:color w:val="auto"/>
                <w:sz w:val="28"/>
                <w:szCs w:val="28"/>
              </w:rPr>
              <w:t xml:space="preserve"> la norma tiene efectos positivos sobre la competencia.</w:t>
            </w:r>
          </w:p>
          <w:p w14:paraId="55E6BC1C" w14:textId="77777777" w:rsidR="00E00019" w:rsidRPr="00ED133C" w:rsidRDefault="00F840B1"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noProof/>
                <w:color w:val="auto"/>
                <w:sz w:val="28"/>
                <w:szCs w:val="28"/>
                <w:lang w:val="es-ES" w:eastAsia="es-ES"/>
              </w:rPr>
              <mc:AlternateContent>
                <mc:Choice Requires="wps">
                  <w:drawing>
                    <wp:inline distT="0" distB="0" distL="0" distR="0" wp14:anchorId="33F73DBB" wp14:editId="2F07FD63">
                      <wp:extent cx="132080" cy="142240"/>
                      <wp:effectExtent l="9525" t="9525" r="10795" b="10160"/>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CA6DE0" w14:textId="77777777" w:rsidR="00C05533" w:rsidRDefault="00C05533" w:rsidP="00E00019">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33F73DBB" id="Rectangle 27" o:spid="_x0000_s1030"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" filled="f" strokeweight="1pt">
                      <v:path arrowok="t"/>
                      <v:textbox inset="8pt,8pt,8pt,8pt">
                        <w:txbxContent>
                          <w:p w14:paraId="00CA6DE0" w14:textId="77777777" w:rsidR="00C05533" w:rsidRDefault="00C05533" w:rsidP="00E00019">
                            <w:pPr>
                              <w:pStyle w:val="Formatolibre"/>
                              <w:rPr>
                                <w:rFonts w:ascii="Times New Roman" w:hAnsi="Times New Roman"/>
                                <w:noProof/>
                                <w:color w:val="auto"/>
                                <w:sz w:val="20"/>
                                <w:lang w:val="es-ES" w:eastAsia="es-ES"/>
                              </w:rPr>
                            </w:pPr>
                          </w:p>
                        </w:txbxContent>
                      </v:textbox>
                      <w10:anchorlock/>
                    </v:rect>
                  </w:pict>
                </mc:Fallback>
              </mc:AlternateContent>
            </w:r>
            <w:r w:rsidR="00E00019" w:rsidRPr="00ED133C">
              <w:rPr>
                <w:rFonts w:ascii="Arial" w:hAnsi="Arial" w:cs="Arial"/>
                <w:color w:val="auto"/>
                <w:sz w:val="28"/>
                <w:szCs w:val="28"/>
              </w:rPr>
              <w:t xml:space="preserve"> la norma tiene efectos negativos sobre la competencia.</w:t>
            </w:r>
          </w:p>
        </w:tc>
      </w:tr>
      <w:tr w:rsidR="00E00019" w:rsidRPr="00014623" w14:paraId="5959E59D" w14:textId="77777777" w:rsidTr="003E39D6">
        <w:trPr>
          <w:cantSplit/>
          <w:trHeight w:val="2340"/>
        </w:trPr>
        <w:tc>
          <w:tcPr>
            <w:tcW w:w="3087"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0A941362"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p>
        </w:tc>
        <w:tc>
          <w:tcPr>
            <w:tcW w:w="2711" w:type="dxa"/>
            <w:gridSpan w:val="2"/>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6DB83B3D"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color w:val="auto"/>
                <w:sz w:val="28"/>
                <w:szCs w:val="28"/>
              </w:rPr>
              <w:t>Desde el punto de vista de las cargas administrativas</w:t>
            </w:r>
            <w:r w:rsidR="00CD2D7B" w:rsidRPr="00ED133C">
              <w:rPr>
                <w:rFonts w:ascii="Arial" w:hAnsi="Arial" w:cs="Arial"/>
                <w:color w:val="auto"/>
                <w:sz w:val="28"/>
                <w:szCs w:val="28"/>
              </w:rPr>
              <w:t>:</w:t>
            </w:r>
          </w:p>
        </w:tc>
        <w:tc>
          <w:tcPr>
            <w:tcW w:w="3307" w:type="dxa"/>
            <w:gridSpan w:val="2"/>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4FC58C8B" w14:textId="77777777" w:rsidR="00E00019" w:rsidRPr="00ED133C" w:rsidRDefault="00F840B1"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noProof/>
                <w:color w:val="auto"/>
                <w:sz w:val="28"/>
                <w:szCs w:val="28"/>
                <w:lang w:val="es-ES" w:eastAsia="es-ES"/>
              </w:rPr>
              <mc:AlternateContent>
                <mc:Choice Requires="wps">
                  <w:drawing>
                    <wp:inline distT="0" distB="0" distL="0" distR="0" wp14:anchorId="60907942" wp14:editId="2188BEF5">
                      <wp:extent cx="132080" cy="142240"/>
                      <wp:effectExtent l="9525" t="9525" r="10795" b="10160"/>
                      <wp:docPr id="1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889C5F" w14:textId="77777777" w:rsidR="00C05533" w:rsidRDefault="00C05533" w:rsidP="00E00019">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60907942" id="Rectangle 26" o:spid="_x0000_s1031"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" filled="f" strokeweight="1pt">
                      <v:path arrowok="t"/>
                      <v:textbox inset="8pt,8pt,8pt,8pt">
                        <w:txbxContent>
                          <w:p w14:paraId="3B889C5F" w14:textId="77777777" w:rsidR="00C05533" w:rsidRDefault="00C05533" w:rsidP="00E00019">
                            <w:pPr>
                              <w:pStyle w:val="Formatolibre"/>
                              <w:rPr>
                                <w:rFonts w:ascii="Times New Roman" w:hAnsi="Times New Roman"/>
                                <w:noProof/>
                                <w:color w:val="auto"/>
                                <w:sz w:val="20"/>
                                <w:lang w:val="es-ES" w:eastAsia="es-ES"/>
                              </w:rPr>
                            </w:pPr>
                          </w:p>
                        </w:txbxContent>
                      </v:textbox>
                      <w10:anchorlock/>
                    </v:rect>
                  </w:pict>
                </mc:Fallback>
              </mc:AlternateContent>
            </w:r>
            <w:r w:rsidR="00E00019" w:rsidRPr="00ED133C">
              <w:rPr>
                <w:rFonts w:ascii="Arial" w:hAnsi="Arial" w:cs="Arial"/>
                <w:color w:val="auto"/>
                <w:sz w:val="28"/>
                <w:szCs w:val="28"/>
              </w:rPr>
              <w:t xml:space="preserve"> supone una reducción de cargas administrativas. </w:t>
            </w:r>
          </w:p>
          <w:p w14:paraId="68AD9439" w14:textId="065CD348"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color w:val="auto"/>
                <w:sz w:val="28"/>
                <w:szCs w:val="28"/>
              </w:rPr>
              <w:t xml:space="preserve">Cuantificación </w:t>
            </w:r>
            <w:r w:rsidR="003E39D6" w:rsidRPr="00ED133C">
              <w:rPr>
                <w:rFonts w:ascii="Arial" w:hAnsi="Arial" w:cs="Arial"/>
                <w:color w:val="auto"/>
                <w:sz w:val="28"/>
                <w:szCs w:val="28"/>
              </w:rPr>
              <w:t>estimada: _</w:t>
            </w:r>
            <w:r w:rsidRPr="00ED133C">
              <w:rPr>
                <w:rFonts w:ascii="Arial" w:hAnsi="Arial" w:cs="Arial"/>
                <w:color w:val="auto"/>
                <w:sz w:val="28"/>
                <w:szCs w:val="28"/>
              </w:rPr>
              <w:t>_______________</w:t>
            </w:r>
          </w:p>
          <w:p w14:paraId="661C45D7" w14:textId="77777777" w:rsidR="00E00019" w:rsidRPr="00ED133C" w:rsidRDefault="00F840B1"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noProof/>
                <w:color w:val="auto"/>
                <w:sz w:val="28"/>
                <w:szCs w:val="28"/>
                <w:lang w:val="es-ES" w:eastAsia="es-ES"/>
              </w:rPr>
              <mc:AlternateContent>
                <mc:Choice Requires="wps">
                  <w:drawing>
                    <wp:inline distT="0" distB="0" distL="0" distR="0" wp14:anchorId="161278A6" wp14:editId="5DAB4242">
                      <wp:extent cx="132080" cy="142240"/>
                      <wp:effectExtent l="9525" t="9525" r="10795" b="10160"/>
                      <wp:docPr id="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8709A8" w14:textId="77777777" w:rsidR="00C05533" w:rsidRDefault="00C05533" w:rsidP="00E00019">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161278A6" id="Rectangle 25" o:spid="_x0000_s1032"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" filled="f" strokeweight="1pt">
                      <v:path arrowok="t"/>
                      <v:textbox inset="8pt,8pt,8pt,8pt">
                        <w:txbxContent>
                          <w:p w14:paraId="768709A8" w14:textId="77777777" w:rsidR="00C05533" w:rsidRDefault="00C05533" w:rsidP="00E00019">
                            <w:pPr>
                              <w:pStyle w:val="Formatolibre"/>
                              <w:rPr>
                                <w:rFonts w:ascii="Times New Roman" w:hAnsi="Times New Roman"/>
                                <w:noProof/>
                                <w:color w:val="auto"/>
                                <w:sz w:val="20"/>
                                <w:lang w:val="es-ES" w:eastAsia="es-ES"/>
                              </w:rPr>
                            </w:pPr>
                          </w:p>
                        </w:txbxContent>
                      </v:textbox>
                      <w10:anchorlock/>
                    </v:rect>
                  </w:pict>
                </mc:Fallback>
              </mc:AlternateContent>
            </w:r>
            <w:r w:rsidR="00E00019" w:rsidRPr="00ED133C">
              <w:rPr>
                <w:rFonts w:ascii="Arial" w:hAnsi="Arial" w:cs="Arial"/>
                <w:color w:val="auto"/>
                <w:sz w:val="28"/>
                <w:szCs w:val="28"/>
              </w:rPr>
              <w:t xml:space="preserve"> incorpora nuevas cargas administrativas. </w:t>
            </w:r>
          </w:p>
          <w:p w14:paraId="65B041F6" w14:textId="5C065A4A"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color w:val="auto"/>
                <w:sz w:val="28"/>
                <w:szCs w:val="28"/>
              </w:rPr>
              <w:t xml:space="preserve">Cuantificación </w:t>
            </w:r>
            <w:r w:rsidR="003E39D6" w:rsidRPr="00ED133C">
              <w:rPr>
                <w:rFonts w:ascii="Arial" w:hAnsi="Arial" w:cs="Arial"/>
                <w:color w:val="auto"/>
                <w:sz w:val="28"/>
                <w:szCs w:val="28"/>
              </w:rPr>
              <w:t xml:space="preserve">estimada: </w:t>
            </w:r>
            <w:r w:rsidR="003E39D6" w:rsidRPr="003E39D6">
              <w:rPr>
                <w:rFonts w:ascii="Arial" w:hAnsi="Arial" w:cs="Arial"/>
                <w:color w:val="auto"/>
                <w:sz w:val="28"/>
                <w:szCs w:val="28"/>
              </w:rPr>
              <w:t>________________</w:t>
            </w:r>
          </w:p>
          <w:p w14:paraId="35DF7A0C"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color w:val="auto"/>
                <w:sz w:val="28"/>
                <w:szCs w:val="28"/>
              </w:rPr>
              <w:t xml:space="preserve">  </w:t>
            </w:r>
            <w:r w:rsidR="00F840B1" w:rsidRPr="00ED133C">
              <w:rPr>
                <w:rFonts w:ascii="Arial" w:hAnsi="Arial" w:cs="Arial"/>
                <w:noProof/>
                <w:color w:val="auto"/>
                <w:sz w:val="28"/>
                <w:szCs w:val="28"/>
                <w:lang w:val="es-ES" w:eastAsia="es-ES"/>
              </w:rPr>
              <mc:AlternateContent>
                <mc:Choice Requires="wps">
                  <w:drawing>
                    <wp:inline distT="0" distB="0" distL="0" distR="0" wp14:anchorId="0E19C289" wp14:editId="0D48AC1C">
                      <wp:extent cx="132080" cy="142240"/>
                      <wp:effectExtent l="9525" t="9525" r="10795" b="10160"/>
                      <wp:docPr id="1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solidFill>
                                <a:srgbClr val="000000"/>
                              </a:solidFill>
                              <a:ln w="12700">
                                <a:solidFill>
                                  <a:srgbClr val="000000"/>
                                </a:solidFill>
                                <a:miter lim="800000"/>
                                <a:headEnd/>
                                <a:tailEnd/>
                              </a:ln>
                            </wps:spPr>
                            <wps:txbx>
                              <w:txbxContent>
                                <w:p w14:paraId="1BA94C56" w14:textId="77777777" w:rsidR="00C05533" w:rsidRDefault="00C05533" w:rsidP="00387FD0">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0E19C289" id="Rectangle 32" o:spid="_x0000_s1033"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" fillcolor="black" strokeweight="1pt">
                      <v:path arrowok="t"/>
                      <v:textbox inset="8pt,8pt,8pt,8pt">
                        <w:txbxContent>
                          <w:p w14:paraId="1BA94C56" w14:textId="77777777" w:rsidR="00C05533" w:rsidRDefault="00C05533" w:rsidP="00387FD0">
                            <w:pPr>
                              <w:pStyle w:val="Formatolibre"/>
                              <w:rPr>
                                <w:rFonts w:ascii="Times New Roman" w:hAnsi="Times New Roman"/>
                                <w:noProof/>
                                <w:color w:val="auto"/>
                                <w:sz w:val="20"/>
                                <w:lang w:val="es-ES" w:eastAsia="es-ES"/>
                              </w:rPr>
                            </w:pPr>
                          </w:p>
                        </w:txbxContent>
                      </v:textbox>
                      <w10:anchorlock/>
                    </v:rect>
                  </w:pict>
                </mc:Fallback>
              </mc:AlternateContent>
            </w:r>
            <w:r w:rsidR="00CD2D7B" w:rsidRPr="00ED133C">
              <w:rPr>
                <w:rFonts w:ascii="Arial" w:hAnsi="Arial" w:cs="Arial"/>
                <w:color w:val="auto"/>
                <w:sz w:val="28"/>
                <w:szCs w:val="28"/>
              </w:rPr>
              <w:t xml:space="preserve"> </w:t>
            </w:r>
            <w:r w:rsidRPr="00ED133C">
              <w:rPr>
                <w:rFonts w:ascii="Arial" w:hAnsi="Arial" w:cs="Arial"/>
                <w:color w:val="auto"/>
                <w:sz w:val="28"/>
                <w:szCs w:val="28"/>
              </w:rPr>
              <w:t>no afecta a las cargas administrativas.</w:t>
            </w:r>
          </w:p>
        </w:tc>
      </w:tr>
      <w:tr w:rsidR="00E00019" w:rsidRPr="00014623" w14:paraId="65C746A3" w14:textId="77777777" w:rsidTr="003E39D6">
        <w:trPr>
          <w:cantSplit/>
          <w:trHeight w:val="2160"/>
        </w:trPr>
        <w:tc>
          <w:tcPr>
            <w:tcW w:w="3087"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68CAAE45"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p>
        </w:tc>
        <w:tc>
          <w:tcPr>
            <w:tcW w:w="2711" w:type="dxa"/>
            <w:gridSpan w:val="2"/>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428C7F08"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color w:val="auto"/>
                <w:sz w:val="28"/>
                <w:szCs w:val="28"/>
              </w:rPr>
              <w:t>Desde el punto de vista de los presupuestos, la norma</w:t>
            </w:r>
            <w:r w:rsidR="00CD2D7B" w:rsidRPr="00ED133C">
              <w:rPr>
                <w:rFonts w:ascii="Arial" w:hAnsi="Arial" w:cs="Arial"/>
                <w:color w:val="auto"/>
                <w:sz w:val="28"/>
                <w:szCs w:val="28"/>
              </w:rPr>
              <w:t>:</w:t>
            </w:r>
          </w:p>
          <w:p w14:paraId="22F23A50" w14:textId="77777777" w:rsidR="00E00019" w:rsidRPr="00ED133C" w:rsidRDefault="00F840B1"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noProof/>
                <w:color w:val="auto"/>
                <w:sz w:val="28"/>
                <w:szCs w:val="28"/>
                <w:lang w:val="es-ES" w:eastAsia="es-ES"/>
              </w:rPr>
              <mc:AlternateContent>
                <mc:Choice Requires="wps">
                  <w:drawing>
                    <wp:inline distT="0" distB="0" distL="0" distR="0" wp14:anchorId="37FF5356" wp14:editId="592CE7AD">
                      <wp:extent cx="132080" cy="142240"/>
                      <wp:effectExtent l="9525" t="9525" r="10795" b="10160"/>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solidFill>
                                <a:srgbClr val="000000"/>
                              </a:solidFill>
                              <a:ln w="12700">
                                <a:solidFill>
                                  <a:srgbClr val="000000"/>
                                </a:solidFill>
                                <a:miter lim="800000"/>
                                <a:headEnd/>
                                <a:tailEnd/>
                              </a:ln>
                            </wps:spPr>
                            <wps:txbx>
                              <w:txbxContent>
                                <w:p w14:paraId="2A8F59B2" w14:textId="77777777" w:rsidR="00C05533" w:rsidRDefault="00C05533" w:rsidP="00387FD0">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37FF5356" id="Rectangle 35" o:spid="_x0000_s1034"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" fillcolor="black" strokeweight="1pt">
                      <v:path arrowok="t"/>
                      <v:textbox inset="8pt,8pt,8pt,8pt">
                        <w:txbxContent>
                          <w:p w14:paraId="2A8F59B2" w14:textId="77777777" w:rsidR="00C05533" w:rsidRDefault="00C05533" w:rsidP="00387FD0">
                            <w:pPr>
                              <w:pStyle w:val="Formatolibre"/>
                              <w:rPr>
                                <w:rFonts w:ascii="Times New Roman" w:hAnsi="Times New Roman"/>
                                <w:noProof/>
                                <w:color w:val="auto"/>
                                <w:sz w:val="20"/>
                                <w:lang w:val="es-ES" w:eastAsia="es-ES"/>
                              </w:rPr>
                            </w:pPr>
                          </w:p>
                        </w:txbxContent>
                      </v:textbox>
                      <w10:anchorlock/>
                    </v:rect>
                  </w:pict>
                </mc:Fallback>
              </mc:AlternateContent>
            </w:r>
            <w:r w:rsidR="00E00019" w:rsidRPr="00ED133C">
              <w:rPr>
                <w:rFonts w:ascii="Arial" w:hAnsi="Arial" w:cs="Arial"/>
                <w:color w:val="auto"/>
                <w:sz w:val="28"/>
                <w:szCs w:val="28"/>
              </w:rPr>
              <w:t xml:space="preserve"> Afecta a los presupuestos de la Administración del Estado.</w:t>
            </w:r>
          </w:p>
          <w:p w14:paraId="41B3D1D3" w14:textId="77777777" w:rsidR="00E00019" w:rsidRPr="00ED133C" w:rsidRDefault="00F840B1"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noProof/>
                <w:color w:val="auto"/>
                <w:sz w:val="28"/>
                <w:szCs w:val="28"/>
                <w:lang w:val="es-ES" w:eastAsia="es-ES"/>
              </w:rPr>
              <mc:AlternateContent>
                <mc:Choice Requires="wps">
                  <w:drawing>
                    <wp:inline distT="0" distB="0" distL="0" distR="0" wp14:anchorId="2AC0C518" wp14:editId="4055FD1D">
                      <wp:extent cx="132080" cy="142240"/>
                      <wp:effectExtent l="9525" t="9525" r="10795" b="10160"/>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ADE69D6" w14:textId="77777777" w:rsidR="00C05533" w:rsidRDefault="00C05533" w:rsidP="00E00019">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2AC0C518" id="Rectangle 22" o:spid="_x0000_s1035"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" filled="f" fillcolor="black" strokeweight="1pt">
                      <v:path arrowok="t"/>
                      <v:textbox inset="8pt,8pt,8pt,8pt">
                        <w:txbxContent>
                          <w:p w14:paraId="7ADE69D6" w14:textId="77777777" w:rsidR="00C05533" w:rsidRDefault="00C05533" w:rsidP="00E00019">
                            <w:pPr>
                              <w:pStyle w:val="Formatolibre"/>
                              <w:rPr>
                                <w:rFonts w:ascii="Times New Roman" w:hAnsi="Times New Roman"/>
                                <w:noProof/>
                                <w:color w:val="auto"/>
                                <w:sz w:val="20"/>
                                <w:lang w:val="es-ES" w:eastAsia="es-ES"/>
                              </w:rPr>
                            </w:pPr>
                          </w:p>
                        </w:txbxContent>
                      </v:textbox>
                      <w10:anchorlock/>
                    </v:rect>
                  </w:pict>
                </mc:Fallback>
              </mc:AlternateContent>
            </w:r>
            <w:r w:rsidR="00E00019" w:rsidRPr="00ED133C">
              <w:rPr>
                <w:rFonts w:ascii="Arial" w:hAnsi="Arial" w:cs="Arial"/>
                <w:color w:val="auto"/>
                <w:sz w:val="28"/>
                <w:szCs w:val="28"/>
              </w:rPr>
              <w:t xml:space="preserve"> Afecta a los presupuestos de otras Administraciones Territoriales.</w:t>
            </w:r>
          </w:p>
        </w:tc>
        <w:tc>
          <w:tcPr>
            <w:tcW w:w="3307" w:type="dxa"/>
            <w:gridSpan w:val="2"/>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2A855F6C"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color w:val="auto"/>
                <w:sz w:val="28"/>
                <w:szCs w:val="28"/>
              </w:rPr>
              <w:t xml:space="preserve"> </w:t>
            </w:r>
            <w:r w:rsidR="00F840B1" w:rsidRPr="00ED133C">
              <w:rPr>
                <w:rFonts w:ascii="Arial" w:hAnsi="Arial" w:cs="Arial"/>
                <w:noProof/>
                <w:color w:val="auto"/>
                <w:sz w:val="28"/>
                <w:szCs w:val="28"/>
                <w:lang w:val="es-ES" w:eastAsia="es-ES"/>
              </w:rPr>
              <mc:AlternateContent>
                <mc:Choice Requires="wps">
                  <w:drawing>
                    <wp:inline distT="0" distB="0" distL="0" distR="0" wp14:anchorId="3DDC21BE" wp14:editId="4107588E">
                      <wp:extent cx="132080" cy="142240"/>
                      <wp:effectExtent l="9525" t="9525" r="10795" b="10160"/>
                      <wp:docPr id="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solidFill>
                                <a:srgbClr val="000000"/>
                              </a:solidFill>
                              <a:ln w="12700">
                                <a:solidFill>
                                  <a:srgbClr val="000000"/>
                                </a:solidFill>
                                <a:miter lim="800000"/>
                                <a:headEnd/>
                                <a:tailEnd/>
                              </a:ln>
                            </wps:spPr>
                            <wps:txbx>
                              <w:txbxContent>
                                <w:p w14:paraId="2D641D49" w14:textId="77777777" w:rsidR="00C05533" w:rsidRDefault="00C05533" w:rsidP="00387FD0">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3DDC21BE" id="Rectangle 33" o:spid="_x0000_s1036"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" fillcolor="black" strokeweight="1pt">
                      <v:path arrowok="t"/>
                      <v:textbox inset="8pt,8pt,8pt,8pt">
                        <w:txbxContent>
                          <w:p w14:paraId="2D641D49" w14:textId="77777777" w:rsidR="00C05533" w:rsidRDefault="00C05533" w:rsidP="00387FD0">
                            <w:pPr>
                              <w:pStyle w:val="Formatolibre"/>
                              <w:rPr>
                                <w:rFonts w:ascii="Times New Roman" w:hAnsi="Times New Roman"/>
                                <w:noProof/>
                                <w:color w:val="auto"/>
                                <w:sz w:val="20"/>
                                <w:lang w:val="es-ES" w:eastAsia="es-ES"/>
                              </w:rPr>
                            </w:pPr>
                          </w:p>
                        </w:txbxContent>
                      </v:textbox>
                      <w10:anchorlock/>
                    </v:rect>
                  </w:pict>
                </mc:Fallback>
              </mc:AlternateContent>
            </w:r>
            <w:r w:rsidR="00CD2D7B" w:rsidRPr="00ED133C">
              <w:rPr>
                <w:rFonts w:ascii="Arial" w:hAnsi="Arial" w:cs="Arial"/>
                <w:color w:val="auto"/>
                <w:sz w:val="28"/>
                <w:szCs w:val="28"/>
              </w:rPr>
              <w:t xml:space="preserve"> </w:t>
            </w:r>
            <w:r w:rsidRPr="00ED133C">
              <w:rPr>
                <w:rFonts w:ascii="Arial" w:hAnsi="Arial" w:cs="Arial"/>
                <w:color w:val="auto"/>
                <w:sz w:val="28"/>
                <w:szCs w:val="28"/>
              </w:rPr>
              <w:t>implica un gasto</w:t>
            </w:r>
            <w:r w:rsidR="00CD2D7B" w:rsidRPr="00ED133C">
              <w:rPr>
                <w:rFonts w:ascii="Arial" w:hAnsi="Arial" w:cs="Arial"/>
                <w:color w:val="auto"/>
                <w:sz w:val="28"/>
                <w:szCs w:val="28"/>
              </w:rPr>
              <w:t>.</w:t>
            </w:r>
          </w:p>
          <w:p w14:paraId="59AA8EEB"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color w:val="auto"/>
                <w:sz w:val="28"/>
                <w:szCs w:val="28"/>
              </w:rPr>
              <w:t xml:space="preserve"> </w:t>
            </w:r>
            <w:r w:rsidR="00F840B1" w:rsidRPr="00ED133C">
              <w:rPr>
                <w:rFonts w:ascii="Arial" w:hAnsi="Arial" w:cs="Arial"/>
                <w:noProof/>
                <w:color w:val="auto"/>
                <w:sz w:val="28"/>
                <w:szCs w:val="28"/>
                <w:lang w:val="es-ES" w:eastAsia="es-ES"/>
              </w:rPr>
              <mc:AlternateContent>
                <mc:Choice Requires="wps">
                  <w:drawing>
                    <wp:inline distT="0" distB="0" distL="0" distR="0" wp14:anchorId="51DD13F4" wp14:editId="295365B6">
                      <wp:extent cx="132080" cy="142240"/>
                      <wp:effectExtent l="9525" t="9525" r="10795" b="10160"/>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solidFill>
                                <a:srgbClr val="FFFFFF"/>
                              </a:solidFill>
                              <a:ln w="12700">
                                <a:solidFill>
                                  <a:srgbClr val="000000"/>
                                </a:solidFill>
                                <a:miter lim="800000"/>
                                <a:headEnd/>
                                <a:tailEnd/>
                              </a:ln>
                            </wps:spPr>
                            <wps:txbx>
                              <w:txbxContent>
                                <w:p w14:paraId="2B00DF1F" w14:textId="77777777" w:rsidR="00C05533" w:rsidRDefault="00C05533" w:rsidP="00387FD0">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51DD13F4" id="Rectangle 34" o:spid="_x0000_s1037"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" strokeweight="1pt">
                      <v:path arrowok="t"/>
                      <v:textbox inset="8pt,8pt,8pt,8pt">
                        <w:txbxContent>
                          <w:p w14:paraId="2B00DF1F" w14:textId="77777777" w:rsidR="00C05533" w:rsidRDefault="00C05533" w:rsidP="00387FD0">
                            <w:pPr>
                              <w:pStyle w:val="Formatolibre"/>
                              <w:rPr>
                                <w:rFonts w:ascii="Times New Roman" w:hAnsi="Times New Roman"/>
                                <w:noProof/>
                                <w:color w:val="auto"/>
                                <w:sz w:val="20"/>
                                <w:lang w:val="es-ES" w:eastAsia="es-ES"/>
                              </w:rPr>
                            </w:pPr>
                          </w:p>
                        </w:txbxContent>
                      </v:textbox>
                      <w10:anchorlock/>
                    </v:rect>
                  </w:pict>
                </mc:Fallback>
              </mc:AlternateContent>
            </w:r>
            <w:r w:rsidR="00CD2D7B" w:rsidRPr="00ED133C">
              <w:rPr>
                <w:rFonts w:ascii="Arial" w:hAnsi="Arial" w:cs="Arial"/>
                <w:color w:val="auto"/>
                <w:sz w:val="28"/>
                <w:szCs w:val="28"/>
              </w:rPr>
              <w:t xml:space="preserve"> </w:t>
            </w:r>
            <w:r w:rsidRPr="00ED133C">
              <w:rPr>
                <w:rFonts w:ascii="Arial" w:hAnsi="Arial" w:cs="Arial"/>
                <w:color w:val="auto"/>
                <w:sz w:val="28"/>
                <w:szCs w:val="28"/>
              </w:rPr>
              <w:t>implica un ingreso.</w:t>
            </w:r>
          </w:p>
          <w:p w14:paraId="7F39C1A8" w14:textId="77777777" w:rsidR="00E00019" w:rsidRPr="00ED133C" w:rsidRDefault="00E00019" w:rsidP="002A40C9">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p>
        </w:tc>
      </w:tr>
      <w:tr w:rsidR="00E00019" w:rsidRPr="00014623" w14:paraId="1E48439A" w14:textId="77777777" w:rsidTr="003E39D6">
        <w:trPr>
          <w:cantSplit/>
          <w:trHeight w:val="1532"/>
        </w:trPr>
        <w:tc>
          <w:tcPr>
            <w:tcW w:w="308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28EDB7C1"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b/>
                <w:color w:val="auto"/>
                <w:sz w:val="28"/>
                <w:szCs w:val="28"/>
              </w:rPr>
            </w:pPr>
            <w:r w:rsidRPr="00ED133C">
              <w:rPr>
                <w:rFonts w:ascii="Arial" w:hAnsi="Arial" w:cs="Arial"/>
                <w:b/>
                <w:color w:val="auto"/>
                <w:sz w:val="28"/>
                <w:szCs w:val="28"/>
              </w:rPr>
              <w:lastRenderedPageBreak/>
              <w:t>IMPACTO DE GÉNERO</w:t>
            </w:r>
          </w:p>
        </w:tc>
        <w:tc>
          <w:tcPr>
            <w:tcW w:w="2711" w:type="dxa"/>
            <w:gridSpan w:val="2"/>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42AF271A"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color w:val="auto"/>
                <w:sz w:val="28"/>
                <w:szCs w:val="28"/>
              </w:rPr>
              <w:t>La norma tiene un impacto de género</w:t>
            </w:r>
            <w:r w:rsidR="00CD2D7B" w:rsidRPr="00ED133C">
              <w:rPr>
                <w:rFonts w:ascii="Arial" w:hAnsi="Arial" w:cs="Arial"/>
                <w:color w:val="auto"/>
                <w:sz w:val="28"/>
                <w:szCs w:val="28"/>
              </w:rPr>
              <w:t>:</w:t>
            </w:r>
          </w:p>
        </w:tc>
        <w:tc>
          <w:tcPr>
            <w:tcW w:w="3307" w:type="dxa"/>
            <w:gridSpan w:val="2"/>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47BEEEE"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right"/>
              <w:rPr>
                <w:rFonts w:ascii="Arial" w:hAnsi="Arial" w:cs="Arial"/>
                <w:color w:val="auto"/>
                <w:sz w:val="28"/>
                <w:szCs w:val="28"/>
              </w:rPr>
            </w:pPr>
            <w:r w:rsidRPr="00ED133C">
              <w:rPr>
                <w:rFonts w:ascii="Arial" w:hAnsi="Arial" w:cs="Arial"/>
                <w:color w:val="auto"/>
                <w:sz w:val="28"/>
                <w:szCs w:val="28"/>
              </w:rPr>
              <w:t xml:space="preserve">Negativo </w:t>
            </w:r>
            <w:r w:rsidR="00F840B1" w:rsidRPr="00ED133C">
              <w:rPr>
                <w:rFonts w:ascii="Arial" w:hAnsi="Arial" w:cs="Arial"/>
                <w:noProof/>
                <w:color w:val="auto"/>
                <w:sz w:val="28"/>
                <w:szCs w:val="28"/>
                <w:lang w:val="es-ES" w:eastAsia="es-ES"/>
              </w:rPr>
              <mc:AlternateContent>
                <mc:Choice Requires="wps">
                  <w:drawing>
                    <wp:inline distT="0" distB="0" distL="0" distR="0" wp14:anchorId="7F71CA6F" wp14:editId="4B7003ED">
                      <wp:extent cx="132080" cy="142240"/>
                      <wp:effectExtent l="9525" t="9525" r="10795" b="10160"/>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D4D0EE" w14:textId="77777777" w:rsidR="00C05533" w:rsidRDefault="00C05533" w:rsidP="00E00019">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7F71CA6F" id="Rectangle 19" o:spid="_x0000_s1038"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" filled="f" strokeweight="1pt">
                      <v:path arrowok="t"/>
                      <v:textbox inset="8pt,8pt,8pt,8pt">
                        <w:txbxContent>
                          <w:p w14:paraId="4FD4D0EE" w14:textId="77777777" w:rsidR="00C05533" w:rsidRDefault="00C05533" w:rsidP="00E00019">
                            <w:pPr>
                              <w:pStyle w:val="Formatolibre"/>
                              <w:rPr>
                                <w:rFonts w:ascii="Times New Roman" w:hAnsi="Times New Roman"/>
                                <w:noProof/>
                                <w:color w:val="auto"/>
                                <w:sz w:val="20"/>
                                <w:lang w:val="es-ES" w:eastAsia="es-ES"/>
                              </w:rPr>
                            </w:pPr>
                          </w:p>
                        </w:txbxContent>
                      </v:textbox>
                      <w10:anchorlock/>
                    </v:rect>
                  </w:pict>
                </mc:Fallback>
              </mc:AlternateContent>
            </w:r>
          </w:p>
          <w:p w14:paraId="3189FC2D"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right"/>
              <w:rPr>
                <w:rFonts w:ascii="Arial" w:hAnsi="Arial" w:cs="Arial"/>
                <w:color w:val="auto"/>
                <w:sz w:val="28"/>
                <w:szCs w:val="28"/>
              </w:rPr>
            </w:pPr>
            <w:r w:rsidRPr="00ED133C">
              <w:rPr>
                <w:rFonts w:ascii="Arial" w:hAnsi="Arial" w:cs="Arial"/>
                <w:color w:val="auto"/>
                <w:sz w:val="28"/>
                <w:szCs w:val="28"/>
              </w:rPr>
              <w:t>Nulo</w:t>
            </w:r>
            <w:r w:rsidR="00CD2D7B" w:rsidRPr="00ED133C">
              <w:rPr>
                <w:rFonts w:ascii="Arial" w:hAnsi="Arial" w:cs="Arial"/>
                <w:color w:val="auto"/>
                <w:sz w:val="28"/>
                <w:szCs w:val="28"/>
              </w:rPr>
              <w:t xml:space="preserve"> </w:t>
            </w:r>
            <w:r w:rsidR="00F840B1" w:rsidRPr="00ED133C">
              <w:rPr>
                <w:rFonts w:ascii="Arial" w:hAnsi="Arial" w:cs="Arial"/>
                <w:noProof/>
                <w:color w:val="auto"/>
                <w:sz w:val="28"/>
                <w:szCs w:val="28"/>
                <w:lang w:val="es-ES" w:eastAsia="es-ES"/>
              </w:rPr>
              <mc:AlternateContent>
                <mc:Choice Requires="wps">
                  <w:drawing>
                    <wp:inline distT="0" distB="0" distL="0" distR="0" wp14:anchorId="235381D4" wp14:editId="55A8569D">
                      <wp:extent cx="132080" cy="142240"/>
                      <wp:effectExtent l="9525" t="9525" r="10795" b="10160"/>
                      <wp:docPr id="4"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59043B" w14:textId="77777777" w:rsidR="00C05533" w:rsidRDefault="00C05533" w:rsidP="00CD2D7B">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235381D4" id="Rectangle 371" o:spid="_x0000_s1039"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" filled="f" strokeweight="1pt">
                      <v:path arrowok="t"/>
                      <v:textbox inset="8pt,8pt,8pt,8pt">
                        <w:txbxContent>
                          <w:p w14:paraId="2D59043B" w14:textId="77777777" w:rsidR="00C05533" w:rsidRDefault="00C05533" w:rsidP="00CD2D7B">
                            <w:pPr>
                              <w:pStyle w:val="Formatolibre"/>
                              <w:rPr>
                                <w:rFonts w:ascii="Times New Roman" w:hAnsi="Times New Roman"/>
                                <w:noProof/>
                                <w:color w:val="auto"/>
                                <w:sz w:val="20"/>
                                <w:lang w:val="es-ES" w:eastAsia="es-ES"/>
                              </w:rPr>
                            </w:pPr>
                          </w:p>
                        </w:txbxContent>
                      </v:textbox>
                      <w10:anchorlock/>
                    </v:rect>
                  </w:pict>
                </mc:Fallback>
              </mc:AlternateContent>
            </w:r>
            <w:r w:rsidRPr="00ED133C">
              <w:rPr>
                <w:rFonts w:ascii="Arial" w:hAnsi="Arial" w:cs="Arial"/>
                <w:color w:val="auto"/>
                <w:sz w:val="28"/>
                <w:szCs w:val="28"/>
              </w:rPr>
              <w:t xml:space="preserve">  </w:t>
            </w:r>
          </w:p>
          <w:p w14:paraId="159C0A6A"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right"/>
              <w:rPr>
                <w:rFonts w:ascii="Arial" w:hAnsi="Arial" w:cs="Arial"/>
                <w:color w:val="auto"/>
                <w:sz w:val="28"/>
                <w:szCs w:val="28"/>
              </w:rPr>
            </w:pPr>
            <w:r w:rsidRPr="00ED133C">
              <w:rPr>
                <w:rFonts w:ascii="Arial" w:hAnsi="Arial" w:cs="Arial"/>
                <w:color w:val="auto"/>
                <w:sz w:val="28"/>
                <w:szCs w:val="28"/>
              </w:rPr>
              <w:t xml:space="preserve">Positivo  </w:t>
            </w:r>
            <w:r w:rsidR="00F840B1" w:rsidRPr="00ED133C">
              <w:rPr>
                <w:rFonts w:ascii="Arial" w:hAnsi="Arial" w:cs="Arial"/>
                <w:noProof/>
                <w:color w:val="auto"/>
                <w:sz w:val="28"/>
                <w:szCs w:val="28"/>
                <w:lang w:val="es-ES" w:eastAsia="es-ES"/>
              </w:rPr>
              <mc:AlternateContent>
                <mc:Choice Requires="wps">
                  <w:drawing>
                    <wp:inline distT="0" distB="0" distL="0" distR="0" wp14:anchorId="360FB282" wp14:editId="133FE72B">
                      <wp:extent cx="132080" cy="142240"/>
                      <wp:effectExtent l="9525" t="9525" r="10795" b="10160"/>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solidFill>
                                <a:srgbClr val="000000"/>
                              </a:solidFill>
                              <a:ln w="12700">
                                <a:solidFill>
                                  <a:srgbClr val="000000"/>
                                </a:solidFill>
                                <a:miter lim="800000"/>
                                <a:headEnd/>
                                <a:tailEnd/>
                              </a:ln>
                            </wps:spPr>
                            <wps:txbx>
                              <w:txbxContent>
                                <w:p w14:paraId="74933416" w14:textId="77777777" w:rsidR="00C05533" w:rsidRDefault="00C05533" w:rsidP="00E00019">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360FB282" id="Rectangle 18" o:spid="_x0000_s1040"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" fillcolor="black" strokeweight="1pt">
                      <v:path arrowok="t"/>
                      <v:textbox inset="8pt,8pt,8pt,8pt">
                        <w:txbxContent>
                          <w:p w14:paraId="74933416" w14:textId="77777777" w:rsidR="00C05533" w:rsidRDefault="00C05533" w:rsidP="00E00019">
                            <w:pPr>
                              <w:pStyle w:val="Formatolibre"/>
                              <w:rPr>
                                <w:rFonts w:ascii="Times New Roman" w:hAnsi="Times New Roman"/>
                                <w:noProof/>
                                <w:color w:val="auto"/>
                                <w:sz w:val="20"/>
                                <w:lang w:val="es-ES" w:eastAsia="es-ES"/>
                              </w:rPr>
                            </w:pPr>
                          </w:p>
                        </w:txbxContent>
                      </v:textbox>
                      <w10:anchorlock/>
                    </v:rect>
                  </w:pict>
                </mc:Fallback>
              </mc:AlternateContent>
            </w:r>
          </w:p>
        </w:tc>
      </w:tr>
      <w:tr w:rsidR="00E00019" w:rsidRPr="00014623" w14:paraId="39D997CC" w14:textId="77777777" w:rsidTr="003E39D6">
        <w:trPr>
          <w:cantSplit/>
          <w:trHeight w:val="1140"/>
        </w:trPr>
        <w:tc>
          <w:tcPr>
            <w:tcW w:w="308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5561C2C"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b/>
                <w:color w:val="auto"/>
                <w:sz w:val="28"/>
                <w:szCs w:val="28"/>
              </w:rPr>
            </w:pPr>
            <w:r w:rsidRPr="00ED133C">
              <w:rPr>
                <w:rFonts w:ascii="Arial" w:hAnsi="Arial" w:cs="Arial"/>
                <w:b/>
                <w:color w:val="auto"/>
                <w:sz w:val="28"/>
                <w:szCs w:val="28"/>
              </w:rPr>
              <w:t>OTROS IMPACTOS CONSIDERADOS</w:t>
            </w:r>
          </w:p>
        </w:tc>
        <w:tc>
          <w:tcPr>
            <w:tcW w:w="6018"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6383AAC9" w14:textId="77777777" w:rsidR="003B7C72" w:rsidRPr="00ED133C" w:rsidRDefault="00D15638" w:rsidP="003B7C72">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360" w:lineRule="auto"/>
              <w:rPr>
                <w:rFonts w:ascii="Arial" w:hAnsi="Arial" w:cs="Arial"/>
                <w:color w:val="auto"/>
                <w:sz w:val="28"/>
                <w:szCs w:val="28"/>
              </w:rPr>
            </w:pPr>
            <w:r w:rsidRPr="00ED133C">
              <w:rPr>
                <w:rFonts w:ascii="Arial" w:hAnsi="Arial" w:cs="Arial"/>
                <w:color w:val="auto"/>
                <w:sz w:val="28"/>
                <w:szCs w:val="28"/>
              </w:rPr>
              <w:t>I</w:t>
            </w:r>
            <w:r w:rsidR="003B7C72" w:rsidRPr="00ED133C">
              <w:rPr>
                <w:rFonts w:ascii="Arial" w:hAnsi="Arial" w:cs="Arial"/>
                <w:color w:val="auto"/>
                <w:sz w:val="28"/>
                <w:szCs w:val="28"/>
              </w:rPr>
              <w:t>mpacto en la infancia y en la adolescencia</w:t>
            </w:r>
            <w:r w:rsidR="00CD2D7B" w:rsidRPr="00ED133C">
              <w:rPr>
                <w:rFonts w:ascii="Arial" w:hAnsi="Arial" w:cs="Arial"/>
                <w:color w:val="auto"/>
                <w:sz w:val="28"/>
                <w:szCs w:val="28"/>
              </w:rPr>
              <w:t>:</w:t>
            </w:r>
            <w:r w:rsidRPr="00ED133C">
              <w:rPr>
                <w:rFonts w:ascii="Arial" w:hAnsi="Arial" w:cs="Arial"/>
                <w:color w:val="auto"/>
                <w:sz w:val="28"/>
                <w:szCs w:val="28"/>
              </w:rPr>
              <w:t xml:space="preserve">                   </w:t>
            </w:r>
            <w:r w:rsidR="00CB1F49" w:rsidRPr="00ED133C">
              <w:rPr>
                <w:rFonts w:ascii="Arial" w:hAnsi="Arial" w:cs="Arial"/>
                <w:color w:val="auto"/>
                <w:sz w:val="28"/>
                <w:szCs w:val="28"/>
              </w:rPr>
              <w:t xml:space="preserve">       </w:t>
            </w:r>
            <w:r w:rsidRPr="00ED133C">
              <w:rPr>
                <w:rFonts w:ascii="Arial" w:hAnsi="Arial" w:cs="Arial"/>
                <w:color w:val="auto"/>
                <w:sz w:val="28"/>
                <w:szCs w:val="28"/>
              </w:rPr>
              <w:t xml:space="preserve">   Positivo   </w:t>
            </w:r>
            <w:r w:rsidR="00F840B1" w:rsidRPr="00ED133C">
              <w:rPr>
                <w:rFonts w:ascii="Arial" w:hAnsi="Arial" w:cs="Arial"/>
                <w:noProof/>
                <w:color w:val="auto"/>
                <w:sz w:val="28"/>
                <w:szCs w:val="28"/>
                <w:lang w:val="es-ES" w:eastAsia="es-ES"/>
              </w:rPr>
              <mc:AlternateContent>
                <mc:Choice Requires="wps">
                  <w:drawing>
                    <wp:inline distT="0" distB="0" distL="0" distR="0" wp14:anchorId="15940A1B" wp14:editId="6B546B19">
                      <wp:extent cx="132080" cy="142240"/>
                      <wp:effectExtent l="9525" t="9525" r="10795" b="10160"/>
                      <wp:docPr id="2"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solidFill>
                                <a:srgbClr val="000000"/>
                              </a:solidFill>
                              <a:ln w="12700">
                                <a:solidFill>
                                  <a:srgbClr val="000000"/>
                                </a:solidFill>
                                <a:miter lim="800000"/>
                                <a:headEnd/>
                                <a:tailEnd/>
                              </a:ln>
                            </wps:spPr>
                            <wps:txbx>
                              <w:txbxContent>
                                <w:p w14:paraId="5D3CB487" w14:textId="77777777" w:rsidR="00C05533" w:rsidRDefault="00C05533" w:rsidP="00D15638">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15940A1B" id="Rectangle 369" o:spid="_x0000_s1041"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" fillcolor="black" strokeweight="1pt">
                      <v:path arrowok="t"/>
                      <v:textbox inset="8pt,8pt,8pt,8pt">
                        <w:txbxContent>
                          <w:p w14:paraId="5D3CB487" w14:textId="77777777" w:rsidR="00C05533" w:rsidRDefault="00C05533" w:rsidP="00D15638">
                            <w:pPr>
                              <w:pStyle w:val="Formatolibre"/>
                              <w:rPr>
                                <w:rFonts w:ascii="Times New Roman" w:hAnsi="Times New Roman"/>
                                <w:noProof/>
                                <w:color w:val="auto"/>
                                <w:sz w:val="20"/>
                                <w:lang w:val="es-ES" w:eastAsia="es-ES"/>
                              </w:rPr>
                            </w:pPr>
                          </w:p>
                        </w:txbxContent>
                      </v:textbox>
                      <w10:anchorlock/>
                    </v:rect>
                  </w:pict>
                </mc:Fallback>
              </mc:AlternateContent>
            </w:r>
          </w:p>
          <w:p w14:paraId="4D3BC2F3" w14:textId="77777777" w:rsidR="00E00019" w:rsidRPr="00ED133C" w:rsidRDefault="00D15638" w:rsidP="003B7C72">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color w:val="auto"/>
                <w:sz w:val="28"/>
                <w:szCs w:val="28"/>
              </w:rPr>
              <w:t>I</w:t>
            </w:r>
            <w:r w:rsidR="003B7C72" w:rsidRPr="00ED133C">
              <w:rPr>
                <w:rFonts w:ascii="Arial" w:hAnsi="Arial" w:cs="Arial"/>
                <w:color w:val="auto"/>
                <w:sz w:val="28"/>
                <w:szCs w:val="28"/>
              </w:rPr>
              <w:t>mpacto en la familia</w:t>
            </w:r>
            <w:r w:rsidR="00CD2D7B" w:rsidRPr="00ED133C">
              <w:rPr>
                <w:rFonts w:ascii="Arial" w:hAnsi="Arial" w:cs="Arial"/>
                <w:color w:val="auto"/>
                <w:sz w:val="28"/>
                <w:szCs w:val="28"/>
              </w:rPr>
              <w:t>:</w:t>
            </w:r>
            <w:r w:rsidRPr="00ED133C">
              <w:rPr>
                <w:rFonts w:ascii="Arial" w:hAnsi="Arial" w:cs="Arial"/>
                <w:color w:val="auto"/>
                <w:sz w:val="28"/>
                <w:szCs w:val="28"/>
              </w:rPr>
              <w:t xml:space="preserve">                                                         </w:t>
            </w:r>
            <w:r w:rsidR="00CB1F49" w:rsidRPr="00ED133C">
              <w:rPr>
                <w:rFonts w:ascii="Arial" w:hAnsi="Arial" w:cs="Arial"/>
                <w:color w:val="auto"/>
                <w:sz w:val="28"/>
                <w:szCs w:val="28"/>
              </w:rPr>
              <w:t xml:space="preserve">       </w:t>
            </w:r>
            <w:r w:rsidRPr="00ED133C">
              <w:rPr>
                <w:rFonts w:ascii="Arial" w:hAnsi="Arial" w:cs="Arial"/>
                <w:color w:val="auto"/>
                <w:sz w:val="28"/>
                <w:szCs w:val="28"/>
              </w:rPr>
              <w:t xml:space="preserve"> Positivo   </w:t>
            </w:r>
            <w:r w:rsidR="00F840B1" w:rsidRPr="00ED133C">
              <w:rPr>
                <w:rFonts w:ascii="Arial" w:hAnsi="Arial" w:cs="Arial"/>
                <w:noProof/>
                <w:color w:val="auto"/>
                <w:sz w:val="28"/>
                <w:szCs w:val="28"/>
                <w:lang w:val="es-ES" w:eastAsia="es-ES"/>
              </w:rPr>
              <mc:AlternateContent>
                <mc:Choice Requires="wps">
                  <w:drawing>
                    <wp:inline distT="0" distB="0" distL="0" distR="0" wp14:anchorId="209D8E40" wp14:editId="576703F1">
                      <wp:extent cx="132080" cy="142240"/>
                      <wp:effectExtent l="9525" t="9525" r="10795" b="10160"/>
                      <wp:docPr id="1"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solidFill>
                                <a:srgbClr val="000000"/>
                              </a:solidFill>
                              <a:ln w="12700">
                                <a:solidFill>
                                  <a:srgbClr val="000000"/>
                                </a:solidFill>
                                <a:miter lim="800000"/>
                                <a:headEnd/>
                                <a:tailEnd/>
                              </a:ln>
                            </wps:spPr>
                            <wps:txbx>
                              <w:txbxContent>
                                <w:p w14:paraId="34D73850" w14:textId="77777777" w:rsidR="00C05533" w:rsidRDefault="00C05533" w:rsidP="00D15638">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209D8E40" id="Rectangle 370" o:spid="_x0000_s1042"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" fillcolor="black" strokeweight="1pt">
                      <v:path arrowok="t"/>
                      <v:textbox inset="8pt,8pt,8pt,8pt">
                        <w:txbxContent>
                          <w:p w14:paraId="34D73850" w14:textId="77777777" w:rsidR="00C05533" w:rsidRDefault="00C05533" w:rsidP="00D15638">
                            <w:pPr>
                              <w:pStyle w:val="Formatolibre"/>
                              <w:rPr>
                                <w:rFonts w:ascii="Times New Roman" w:hAnsi="Times New Roman"/>
                                <w:noProof/>
                                <w:color w:val="auto"/>
                                <w:sz w:val="20"/>
                                <w:lang w:val="es-ES" w:eastAsia="es-ES"/>
                              </w:rPr>
                            </w:pPr>
                          </w:p>
                        </w:txbxContent>
                      </v:textbox>
                      <w10:anchorlock/>
                    </v:rect>
                  </w:pict>
                </mc:Fallback>
              </mc:AlternateContent>
            </w:r>
          </w:p>
          <w:p w14:paraId="08B2CDA1" w14:textId="77777777" w:rsidR="00CB1F49" w:rsidRPr="00ED133C" w:rsidRDefault="00CB1F49" w:rsidP="00CB1F49">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lang w:val="es-ES"/>
              </w:rPr>
            </w:pPr>
            <w:r w:rsidRPr="00ED133C">
              <w:rPr>
                <w:rFonts w:ascii="Arial" w:hAnsi="Arial" w:cs="Arial"/>
                <w:color w:val="auto"/>
                <w:sz w:val="28"/>
                <w:szCs w:val="28"/>
                <w:lang w:val="es-ES"/>
              </w:rPr>
              <w:t xml:space="preserve">Impacto por razón de cambio climático                                          Nulo  </w:t>
            </w:r>
            <w:r w:rsidRPr="00ED133C">
              <w:rPr>
                <w:rFonts w:ascii="Arial" w:hAnsi="Arial" w:cs="Arial"/>
                <w:noProof/>
                <w:color w:val="auto"/>
                <w:sz w:val="28"/>
                <w:szCs w:val="28"/>
                <w:lang w:val="es-ES" w:eastAsia="es-ES"/>
              </w:rPr>
              <mc:AlternateContent>
                <mc:Choice Requires="wps">
                  <w:drawing>
                    <wp:inline distT="0" distB="0" distL="0" distR="0" wp14:anchorId="260F1476" wp14:editId="2B90B987">
                      <wp:extent cx="132080" cy="142240"/>
                      <wp:effectExtent l="9525" t="9525" r="10795" b="10160"/>
                      <wp:docPr id="27"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solidFill>
                                <a:srgbClr val="000000"/>
                              </a:solidFill>
                              <a:ln w="12700">
                                <a:solidFill>
                                  <a:srgbClr val="000000"/>
                                </a:solidFill>
                                <a:miter lim="800000"/>
                                <a:headEnd/>
                                <a:tailEnd/>
                              </a:ln>
                            </wps:spPr>
                            <wps:txbx>
                              <w:txbxContent>
                                <w:p w14:paraId="49CE024D" w14:textId="77777777" w:rsidR="00C05533" w:rsidRDefault="00C05533" w:rsidP="00CB1F49">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260F1476" id="_x0000_s1043"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" fillcolor="black" strokeweight="1pt">
                      <v:path arrowok="t"/>
                      <v:textbox inset="8pt,8pt,8pt,8pt">
                        <w:txbxContent>
                          <w:p w14:paraId="49CE024D" w14:textId="77777777" w:rsidR="00C05533" w:rsidRDefault="00C05533" w:rsidP="00CB1F49">
                            <w:pPr>
                              <w:pStyle w:val="Formatolibre"/>
                              <w:rPr>
                                <w:rFonts w:ascii="Times New Roman" w:hAnsi="Times New Roman"/>
                                <w:noProof/>
                                <w:color w:val="auto"/>
                                <w:sz w:val="20"/>
                                <w:lang w:val="es-ES" w:eastAsia="es-ES"/>
                              </w:rPr>
                            </w:pPr>
                          </w:p>
                        </w:txbxContent>
                      </v:textbox>
                      <w10:anchorlock/>
                    </v:rect>
                  </w:pict>
                </mc:Fallback>
              </mc:AlternateContent>
            </w:r>
          </w:p>
          <w:p w14:paraId="4E875BCD" w14:textId="77777777" w:rsidR="00E00019" w:rsidRPr="00ED133C" w:rsidRDefault="00CB1F49" w:rsidP="00CB1F49">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color w:val="auto"/>
                <w:sz w:val="28"/>
                <w:szCs w:val="28"/>
              </w:rPr>
            </w:pPr>
            <w:r w:rsidRPr="00ED133C">
              <w:rPr>
                <w:rFonts w:ascii="Arial" w:hAnsi="Arial" w:cs="Arial"/>
                <w:color w:val="auto"/>
                <w:sz w:val="28"/>
                <w:szCs w:val="28"/>
                <w:lang w:val="es-ES"/>
              </w:rPr>
              <w:t xml:space="preserve">Impacto en materia de igualdad oportunidades, no discriminación y accesibilidad universal de las personas con discapacidad        </w:t>
            </w:r>
            <w:r w:rsidRPr="00ED133C">
              <w:rPr>
                <w:rFonts w:ascii="Arial" w:hAnsi="Arial" w:cs="Arial"/>
                <w:color w:val="auto"/>
                <w:sz w:val="28"/>
                <w:szCs w:val="28"/>
              </w:rPr>
              <w:t xml:space="preserve">Positivo   </w:t>
            </w:r>
            <w:r w:rsidRPr="00ED133C">
              <w:rPr>
                <w:rFonts w:ascii="Arial" w:hAnsi="Arial" w:cs="Arial"/>
                <w:noProof/>
                <w:color w:val="auto"/>
                <w:sz w:val="28"/>
                <w:szCs w:val="28"/>
                <w:lang w:val="es-ES" w:eastAsia="es-ES"/>
              </w:rPr>
              <mc:AlternateContent>
                <mc:Choice Requires="wps">
                  <w:drawing>
                    <wp:inline distT="0" distB="0" distL="0" distR="0" wp14:anchorId="6A2A2E88" wp14:editId="6F4803FA">
                      <wp:extent cx="132080" cy="142240"/>
                      <wp:effectExtent l="9525" t="9525" r="10795" b="10160"/>
                      <wp:docPr id="28"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solidFill>
                                <a:srgbClr val="000000"/>
                              </a:solidFill>
                              <a:ln w="12700">
                                <a:solidFill>
                                  <a:srgbClr val="000000"/>
                                </a:solidFill>
                                <a:miter lim="800000"/>
                                <a:headEnd/>
                                <a:tailEnd/>
                              </a:ln>
                            </wps:spPr>
                            <wps:txbx>
                              <w:txbxContent>
                                <w:p w14:paraId="1902111A" w14:textId="77777777" w:rsidR="00C05533" w:rsidRDefault="00C05533" w:rsidP="00CB1F49">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6A2A2E88" id="_x0000_s1044"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" fillcolor="black" strokeweight="1pt">
                      <v:path arrowok="t"/>
                      <v:textbox inset="8pt,8pt,8pt,8pt">
                        <w:txbxContent>
                          <w:p w14:paraId="1902111A" w14:textId="77777777" w:rsidR="00C05533" w:rsidRDefault="00C05533" w:rsidP="00CB1F49">
                            <w:pPr>
                              <w:pStyle w:val="Formatolibre"/>
                              <w:rPr>
                                <w:rFonts w:ascii="Times New Roman" w:hAnsi="Times New Roman"/>
                                <w:noProof/>
                                <w:color w:val="auto"/>
                                <w:sz w:val="20"/>
                                <w:lang w:val="es-ES" w:eastAsia="es-ES"/>
                              </w:rPr>
                            </w:pPr>
                          </w:p>
                        </w:txbxContent>
                      </v:textbox>
                      <w10:anchorlock/>
                    </v:rect>
                  </w:pict>
                </mc:Fallback>
              </mc:AlternateContent>
            </w:r>
          </w:p>
        </w:tc>
      </w:tr>
      <w:tr w:rsidR="00E00019" w:rsidRPr="00014623" w14:paraId="0F881890" w14:textId="77777777" w:rsidTr="003E39D6">
        <w:trPr>
          <w:cantSplit/>
          <w:trHeight w:val="1140"/>
        </w:trPr>
        <w:tc>
          <w:tcPr>
            <w:tcW w:w="3087" w:type="dxa"/>
            <w:tcBorders>
              <w:top w:val="single" w:sz="16" w:space="0" w:color="000000"/>
              <w:left w:val="single" w:sz="32" w:space="0" w:color="000000"/>
              <w:bottom w:val="single" w:sz="32" w:space="0" w:color="000000"/>
              <w:right w:val="single" w:sz="16" w:space="0" w:color="000000"/>
            </w:tcBorders>
            <w:shd w:val="clear" w:color="auto" w:fill="E3DFA6"/>
            <w:tcMar>
              <w:top w:w="100" w:type="dxa"/>
              <w:left w:w="100" w:type="dxa"/>
              <w:bottom w:w="100" w:type="dxa"/>
              <w:right w:w="100" w:type="dxa"/>
            </w:tcMar>
          </w:tcPr>
          <w:p w14:paraId="6BA13C28"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s="Arial"/>
                <w:b/>
                <w:color w:val="auto"/>
                <w:sz w:val="28"/>
                <w:szCs w:val="28"/>
              </w:rPr>
            </w:pPr>
            <w:r w:rsidRPr="00ED133C">
              <w:rPr>
                <w:rFonts w:ascii="Arial" w:hAnsi="Arial" w:cs="Arial"/>
                <w:b/>
                <w:color w:val="auto"/>
                <w:sz w:val="28"/>
                <w:szCs w:val="28"/>
              </w:rPr>
              <w:t>OTRAS CONSIDERACIONES</w:t>
            </w:r>
          </w:p>
        </w:tc>
        <w:tc>
          <w:tcPr>
            <w:tcW w:w="6018" w:type="dxa"/>
            <w:gridSpan w:val="4"/>
            <w:tcBorders>
              <w:top w:val="single" w:sz="16" w:space="0" w:color="000000"/>
              <w:left w:val="single" w:sz="16" w:space="0" w:color="000000"/>
              <w:bottom w:val="single" w:sz="32" w:space="0" w:color="000000"/>
              <w:right w:val="single" w:sz="32" w:space="0" w:color="000000"/>
            </w:tcBorders>
            <w:shd w:val="clear" w:color="auto" w:fill="EEFFEB"/>
            <w:tcMar>
              <w:top w:w="100" w:type="dxa"/>
              <w:left w:w="100" w:type="dxa"/>
              <w:bottom w:w="100" w:type="dxa"/>
              <w:right w:w="100" w:type="dxa"/>
            </w:tcMar>
          </w:tcPr>
          <w:p w14:paraId="238DBC93" w14:textId="77777777" w:rsidR="00E00019" w:rsidRPr="00ED133C"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s="Arial"/>
                <w:color w:val="auto"/>
                <w:sz w:val="28"/>
                <w:szCs w:val="28"/>
              </w:rPr>
            </w:pPr>
          </w:p>
        </w:tc>
      </w:tr>
    </w:tbl>
    <w:p w14:paraId="732318E3" w14:textId="77777777" w:rsidR="00E00019" w:rsidRPr="00ED133C" w:rsidRDefault="00E00019" w:rsidP="00E00019">
      <w:pPr>
        <w:rPr>
          <w:rFonts w:ascii="Arial" w:hAnsi="Arial" w:cs="Arial"/>
          <w:szCs w:val="28"/>
        </w:rPr>
      </w:pPr>
    </w:p>
    <w:p w14:paraId="247EAEBC" w14:textId="77777777" w:rsidR="00E72005" w:rsidRPr="00ED133C" w:rsidRDefault="00E72005" w:rsidP="00E72005">
      <w:pPr>
        <w:keepNext/>
        <w:spacing w:after="240"/>
        <w:rPr>
          <w:rFonts w:ascii="Arial" w:hAnsi="Arial" w:cs="Arial"/>
          <w:b/>
          <w:color w:val="808080"/>
          <w:szCs w:val="28"/>
        </w:rPr>
        <w:sectPr w:rsidR="00E72005" w:rsidRPr="00ED133C" w:rsidSect="001467E6">
          <w:footerReference w:type="default" r:id="rId11"/>
          <w:pgSz w:w="11906" w:h="16838" w:code="9"/>
          <w:pgMar w:top="1701" w:right="1797" w:bottom="1440" w:left="1797" w:header="964" w:footer="672" w:gutter="0"/>
          <w:pgNumType w:start="1"/>
          <w:cols w:space="170"/>
          <w:titlePg/>
        </w:sectPr>
      </w:pPr>
    </w:p>
    <w:bookmarkEnd w:id="1"/>
    <w:p w14:paraId="2B0215ED" w14:textId="77777777" w:rsidR="00D05115" w:rsidRPr="00ED133C" w:rsidRDefault="00D05115" w:rsidP="001D577E">
      <w:pPr>
        <w:spacing w:line="288" w:lineRule="auto"/>
        <w:rPr>
          <w:rFonts w:ascii="Arial" w:hAnsi="Arial" w:cs="Arial"/>
          <w:b/>
          <w:szCs w:val="28"/>
          <w:u w:val="single"/>
        </w:rPr>
      </w:pPr>
      <w:r w:rsidRPr="00ED133C">
        <w:rPr>
          <w:rFonts w:ascii="Arial" w:hAnsi="Arial" w:cs="Arial"/>
          <w:b/>
          <w:szCs w:val="28"/>
        </w:rPr>
        <w:lastRenderedPageBreak/>
        <w:t xml:space="preserve">I. </w:t>
      </w:r>
      <w:r w:rsidRPr="00ED133C">
        <w:rPr>
          <w:rFonts w:ascii="Arial" w:hAnsi="Arial" w:cs="Arial"/>
          <w:b/>
          <w:szCs w:val="28"/>
          <w:u w:val="single"/>
        </w:rPr>
        <w:t>OPORTUNIDAD DE LA PROPUESTA</w:t>
      </w:r>
    </w:p>
    <w:p w14:paraId="0A0FDE59" w14:textId="77777777" w:rsidR="00D05115" w:rsidRPr="00ED133C" w:rsidRDefault="00242ABF" w:rsidP="001D577E">
      <w:pPr>
        <w:spacing w:line="288" w:lineRule="auto"/>
        <w:rPr>
          <w:rFonts w:ascii="Arial" w:hAnsi="Arial" w:cs="Arial"/>
          <w:szCs w:val="28"/>
        </w:rPr>
      </w:pPr>
      <w:r w:rsidRPr="00ED133C">
        <w:rPr>
          <w:rFonts w:ascii="Arial" w:hAnsi="Arial" w:cs="Arial"/>
          <w:szCs w:val="28"/>
        </w:rPr>
        <w:t xml:space="preserve">1. </w:t>
      </w:r>
      <w:r w:rsidRPr="00ED133C">
        <w:rPr>
          <w:rFonts w:ascii="Arial" w:hAnsi="Arial" w:cs="Arial"/>
          <w:szCs w:val="28"/>
          <w:u w:val="single"/>
        </w:rPr>
        <w:t>MOTIVACIÓN</w:t>
      </w:r>
    </w:p>
    <w:p w14:paraId="1DD1A71E" w14:textId="53244C0D" w:rsidR="00DC7A57" w:rsidRDefault="00D05115" w:rsidP="001D577E">
      <w:pPr>
        <w:spacing w:line="288" w:lineRule="auto"/>
        <w:rPr>
          <w:rFonts w:ascii="Arial" w:hAnsi="Arial" w:cs="Arial"/>
          <w:szCs w:val="28"/>
        </w:rPr>
      </w:pPr>
      <w:r w:rsidRPr="00ED133C">
        <w:rPr>
          <w:rFonts w:ascii="Arial" w:hAnsi="Arial" w:cs="Arial"/>
          <w:szCs w:val="28"/>
        </w:rPr>
        <w:t>1.</w:t>
      </w:r>
      <w:r w:rsidR="0057201E" w:rsidRPr="00ED133C">
        <w:rPr>
          <w:rFonts w:ascii="Arial" w:hAnsi="Arial" w:cs="Arial"/>
          <w:szCs w:val="28"/>
        </w:rPr>
        <w:t>1.</w:t>
      </w:r>
      <w:r w:rsidR="00C37FA1" w:rsidRPr="00ED133C">
        <w:rPr>
          <w:rFonts w:ascii="Arial" w:hAnsi="Arial" w:cs="Arial"/>
          <w:szCs w:val="28"/>
        </w:rPr>
        <w:t xml:space="preserve"> </w:t>
      </w:r>
      <w:r w:rsidRPr="00ED133C">
        <w:rPr>
          <w:rFonts w:ascii="Arial" w:hAnsi="Arial" w:cs="Arial"/>
          <w:szCs w:val="28"/>
        </w:rPr>
        <w:t>La r</w:t>
      </w:r>
      <w:r w:rsidR="009656E0" w:rsidRPr="00ED133C">
        <w:rPr>
          <w:rFonts w:ascii="Arial" w:hAnsi="Arial" w:cs="Arial"/>
          <w:szCs w:val="28"/>
        </w:rPr>
        <w:t xml:space="preserve">evisión del </w:t>
      </w:r>
      <w:r w:rsidR="00171CB7" w:rsidRPr="00ED133C">
        <w:rPr>
          <w:rFonts w:ascii="Arial" w:hAnsi="Arial" w:cs="Arial"/>
          <w:szCs w:val="28"/>
        </w:rPr>
        <w:t>salario mínimo interprofes</w:t>
      </w:r>
      <w:r w:rsidR="00E330CD" w:rsidRPr="00ED133C">
        <w:rPr>
          <w:rFonts w:ascii="Arial" w:hAnsi="Arial" w:cs="Arial"/>
          <w:szCs w:val="28"/>
        </w:rPr>
        <w:t>i</w:t>
      </w:r>
      <w:r w:rsidR="00171CB7" w:rsidRPr="00ED133C">
        <w:rPr>
          <w:rFonts w:ascii="Arial" w:hAnsi="Arial" w:cs="Arial"/>
          <w:szCs w:val="28"/>
        </w:rPr>
        <w:t>onal (</w:t>
      </w:r>
      <w:r w:rsidR="009656E0" w:rsidRPr="00ED133C">
        <w:rPr>
          <w:rFonts w:ascii="Arial" w:hAnsi="Arial" w:cs="Arial"/>
          <w:szCs w:val="28"/>
        </w:rPr>
        <w:t>SMI</w:t>
      </w:r>
      <w:r w:rsidR="00171CB7" w:rsidRPr="00ED133C">
        <w:rPr>
          <w:rFonts w:ascii="Arial" w:hAnsi="Arial" w:cs="Arial"/>
          <w:szCs w:val="28"/>
        </w:rPr>
        <w:t>)</w:t>
      </w:r>
      <w:r w:rsidR="009656E0" w:rsidRPr="00ED133C">
        <w:rPr>
          <w:rFonts w:ascii="Arial" w:hAnsi="Arial" w:cs="Arial"/>
          <w:szCs w:val="28"/>
        </w:rPr>
        <w:t xml:space="preserve"> para el año </w:t>
      </w:r>
      <w:r w:rsidR="00265837" w:rsidRPr="00ED133C">
        <w:rPr>
          <w:rFonts w:ascii="Arial" w:hAnsi="Arial" w:cs="Arial"/>
          <w:szCs w:val="28"/>
        </w:rPr>
        <w:t>20</w:t>
      </w:r>
      <w:r w:rsidR="00010A26" w:rsidRPr="00ED133C">
        <w:rPr>
          <w:rFonts w:ascii="Arial" w:hAnsi="Arial" w:cs="Arial"/>
          <w:szCs w:val="28"/>
        </w:rPr>
        <w:t>2</w:t>
      </w:r>
      <w:r w:rsidR="00876984">
        <w:rPr>
          <w:rFonts w:ascii="Arial" w:hAnsi="Arial" w:cs="Arial"/>
          <w:szCs w:val="28"/>
        </w:rPr>
        <w:t>4</w:t>
      </w:r>
      <w:r w:rsidRPr="00ED133C">
        <w:rPr>
          <w:rFonts w:ascii="Arial" w:hAnsi="Arial" w:cs="Arial"/>
          <w:szCs w:val="28"/>
        </w:rPr>
        <w:t xml:space="preserve"> se justifica, en primer lugar, en la previsión del artículo 27.1 </w:t>
      </w:r>
      <w:r w:rsidR="003F561E" w:rsidRPr="00ED133C">
        <w:rPr>
          <w:rFonts w:ascii="Arial" w:hAnsi="Arial" w:cs="Arial"/>
          <w:szCs w:val="28"/>
        </w:rPr>
        <w:t>del texto refundido de la Ley del Estatuto de los Trabajadores, aprobado por el Real Decreto Legislativo 2/2015, de 23 de octubre</w:t>
      </w:r>
      <w:r w:rsidR="00171CB7" w:rsidRPr="00ED133C">
        <w:rPr>
          <w:rFonts w:ascii="Arial" w:hAnsi="Arial" w:cs="Arial"/>
          <w:szCs w:val="28"/>
        </w:rPr>
        <w:t>,</w:t>
      </w:r>
      <w:r w:rsidRPr="00ED133C">
        <w:rPr>
          <w:rFonts w:ascii="Arial" w:hAnsi="Arial" w:cs="Arial"/>
          <w:szCs w:val="28"/>
        </w:rPr>
        <w:t xml:space="preserve"> que obliga a realizar la revisión del SMI todos los años, teniendo en cuenta a tales efectos cuatro factores: el índice de precios </w:t>
      </w:r>
      <w:r w:rsidR="00B145FD" w:rsidRPr="00ED133C">
        <w:rPr>
          <w:rFonts w:ascii="Arial" w:hAnsi="Arial" w:cs="Arial"/>
          <w:szCs w:val="28"/>
        </w:rPr>
        <w:t>de</w:t>
      </w:r>
      <w:r w:rsidRPr="00ED133C">
        <w:rPr>
          <w:rFonts w:ascii="Arial" w:hAnsi="Arial" w:cs="Arial"/>
          <w:szCs w:val="28"/>
        </w:rPr>
        <w:t xml:space="preserve"> consumo, la productividad media nacional, el incremento de la participación del trabajo en la renta nacional y la coyuntura económica </w:t>
      </w:r>
      <w:r w:rsidR="009E7F83" w:rsidRPr="00ED133C">
        <w:rPr>
          <w:rFonts w:ascii="Arial" w:hAnsi="Arial" w:cs="Arial"/>
          <w:szCs w:val="28"/>
        </w:rPr>
        <w:t>general</w:t>
      </w:r>
      <w:r w:rsidRPr="00ED133C">
        <w:rPr>
          <w:rFonts w:ascii="Arial" w:hAnsi="Arial" w:cs="Arial"/>
          <w:szCs w:val="28"/>
        </w:rPr>
        <w:t>.</w:t>
      </w:r>
    </w:p>
    <w:p w14:paraId="79C8EE18" w14:textId="0F290835" w:rsidR="00856753" w:rsidRPr="00ED133C" w:rsidRDefault="00856753" w:rsidP="00856753">
      <w:pPr>
        <w:spacing w:line="288" w:lineRule="auto"/>
        <w:rPr>
          <w:rFonts w:ascii="Arial" w:hAnsi="Arial" w:cs="Arial"/>
          <w:szCs w:val="28"/>
        </w:rPr>
      </w:pPr>
      <w:r w:rsidRPr="00856753">
        <w:rPr>
          <w:rFonts w:ascii="Arial" w:hAnsi="Arial" w:cs="Arial"/>
          <w:szCs w:val="28"/>
        </w:rPr>
        <w:t xml:space="preserve">Asimismo, este real decreto se dicta de acuerdo con lo previsto en el artículo </w:t>
      </w:r>
      <w:r>
        <w:rPr>
          <w:rFonts w:ascii="Arial" w:hAnsi="Arial" w:cs="Arial"/>
          <w:szCs w:val="28"/>
        </w:rPr>
        <w:t>84</w:t>
      </w:r>
      <w:r w:rsidRPr="00856753">
        <w:rPr>
          <w:rFonts w:ascii="Arial" w:hAnsi="Arial" w:cs="Arial"/>
          <w:szCs w:val="28"/>
        </w:rPr>
        <w:t xml:space="preserve"> del Real Decreto-ley 8/2023, de 27 de diciembre, por el que se adoptan medidas</w:t>
      </w:r>
      <w:r>
        <w:rPr>
          <w:rFonts w:ascii="Arial" w:hAnsi="Arial" w:cs="Arial"/>
          <w:szCs w:val="28"/>
        </w:rPr>
        <w:t xml:space="preserve"> </w:t>
      </w:r>
      <w:r w:rsidRPr="00856753">
        <w:rPr>
          <w:rFonts w:ascii="Arial" w:hAnsi="Arial" w:cs="Arial"/>
          <w:szCs w:val="28"/>
        </w:rPr>
        <w:t>para afrontar las consecuencias económicas y sociales derivadas de los</w:t>
      </w:r>
      <w:r>
        <w:rPr>
          <w:rFonts w:ascii="Arial" w:hAnsi="Arial" w:cs="Arial"/>
          <w:szCs w:val="28"/>
        </w:rPr>
        <w:t xml:space="preserve"> </w:t>
      </w:r>
      <w:r w:rsidRPr="00856753">
        <w:rPr>
          <w:rFonts w:ascii="Arial" w:hAnsi="Arial" w:cs="Arial"/>
          <w:szCs w:val="28"/>
        </w:rPr>
        <w:t>conflictos en Ucrania y Oriente Próximo, así como para paliar los efectos de</w:t>
      </w:r>
      <w:r>
        <w:rPr>
          <w:rFonts w:ascii="Arial" w:hAnsi="Arial" w:cs="Arial"/>
          <w:szCs w:val="28"/>
        </w:rPr>
        <w:t xml:space="preserve"> </w:t>
      </w:r>
      <w:r w:rsidRPr="00856753">
        <w:rPr>
          <w:rFonts w:ascii="Arial" w:hAnsi="Arial" w:cs="Arial"/>
          <w:szCs w:val="28"/>
        </w:rPr>
        <w:t>la sequía, que prorroga la vigencia del Real Decreto 99/2023, de 14 de febrero, por el que se fija el salario mínimo interprofesional para 202</w:t>
      </w:r>
      <w:r>
        <w:rPr>
          <w:rFonts w:ascii="Arial" w:hAnsi="Arial" w:cs="Arial"/>
          <w:szCs w:val="28"/>
        </w:rPr>
        <w:t>3</w:t>
      </w:r>
      <w:r w:rsidRPr="00856753">
        <w:rPr>
          <w:rFonts w:ascii="Arial" w:hAnsi="Arial" w:cs="Arial"/>
          <w:szCs w:val="28"/>
        </w:rPr>
        <w:t>,  hasta tanto se apruebe el real decreto por el que se fija el salario mínimo interprofesional para el año 202</w:t>
      </w:r>
      <w:r>
        <w:rPr>
          <w:rFonts w:ascii="Arial" w:hAnsi="Arial" w:cs="Arial"/>
          <w:szCs w:val="28"/>
        </w:rPr>
        <w:t>4</w:t>
      </w:r>
      <w:r w:rsidRPr="00856753">
        <w:rPr>
          <w:rFonts w:ascii="Arial" w:hAnsi="Arial" w:cs="Arial"/>
          <w:szCs w:val="28"/>
        </w:rPr>
        <w:t xml:space="preserve"> en el marco del diálogo social, en los términos establecidos en aquel, y de acuerdo con lo previsto en el artículo 27 del Estatuto de los Trabajadores, garantizándose así la seguridad jurídica y la continuidad de la función del salario mínimo interprofesional de servir de suelo o garantía salarial mínima para las personas trabajadoras.</w:t>
      </w:r>
    </w:p>
    <w:p w14:paraId="4CCC6E15" w14:textId="2C143420" w:rsidR="00D05115" w:rsidRPr="00ED133C" w:rsidRDefault="0057201E" w:rsidP="001D577E">
      <w:pPr>
        <w:spacing w:line="288" w:lineRule="auto"/>
        <w:rPr>
          <w:rFonts w:ascii="Arial" w:hAnsi="Arial" w:cs="Arial"/>
          <w:szCs w:val="28"/>
        </w:rPr>
      </w:pPr>
      <w:r w:rsidRPr="00ED133C">
        <w:rPr>
          <w:rFonts w:ascii="Arial" w:hAnsi="Arial" w:cs="Arial"/>
          <w:szCs w:val="28"/>
        </w:rPr>
        <w:t>1.</w:t>
      </w:r>
      <w:r w:rsidR="003B7C72" w:rsidRPr="00ED133C">
        <w:rPr>
          <w:rFonts w:ascii="Arial" w:hAnsi="Arial" w:cs="Arial"/>
          <w:szCs w:val="28"/>
        </w:rPr>
        <w:t>2</w:t>
      </w:r>
      <w:r w:rsidR="00D05115" w:rsidRPr="00ED133C">
        <w:rPr>
          <w:rFonts w:ascii="Arial" w:hAnsi="Arial" w:cs="Arial"/>
          <w:szCs w:val="28"/>
        </w:rPr>
        <w:t>.</w:t>
      </w:r>
      <w:r w:rsidR="00C37FA1" w:rsidRPr="00ED133C">
        <w:rPr>
          <w:rFonts w:ascii="Arial" w:hAnsi="Arial" w:cs="Arial"/>
          <w:szCs w:val="28"/>
        </w:rPr>
        <w:t xml:space="preserve"> </w:t>
      </w:r>
      <w:r w:rsidR="00D05115" w:rsidRPr="00ED133C">
        <w:rPr>
          <w:rFonts w:ascii="Arial" w:hAnsi="Arial" w:cs="Arial"/>
          <w:szCs w:val="28"/>
        </w:rPr>
        <w:t xml:space="preserve">Por otra parte, la revisión del SMI para el año </w:t>
      </w:r>
      <w:r w:rsidR="00024592" w:rsidRPr="00ED133C">
        <w:rPr>
          <w:rFonts w:ascii="Arial" w:hAnsi="Arial" w:cs="Arial"/>
          <w:szCs w:val="28"/>
        </w:rPr>
        <w:t>20</w:t>
      </w:r>
      <w:r w:rsidR="00010A26" w:rsidRPr="00ED133C">
        <w:rPr>
          <w:rFonts w:ascii="Arial" w:hAnsi="Arial" w:cs="Arial"/>
          <w:szCs w:val="28"/>
        </w:rPr>
        <w:t>2</w:t>
      </w:r>
      <w:r w:rsidR="00856753">
        <w:rPr>
          <w:rFonts w:ascii="Arial" w:hAnsi="Arial" w:cs="Arial"/>
          <w:szCs w:val="28"/>
        </w:rPr>
        <w:t>4</w:t>
      </w:r>
      <w:r w:rsidR="00D05115" w:rsidRPr="00ED133C">
        <w:rPr>
          <w:rFonts w:ascii="Arial" w:hAnsi="Arial" w:cs="Arial"/>
          <w:szCs w:val="28"/>
        </w:rPr>
        <w:t xml:space="preserve"> se enmarca </w:t>
      </w:r>
      <w:r w:rsidR="009E3193" w:rsidRPr="00ED133C">
        <w:rPr>
          <w:rFonts w:ascii="Arial" w:hAnsi="Arial" w:cs="Arial"/>
          <w:szCs w:val="28"/>
        </w:rPr>
        <w:t xml:space="preserve">en el contexto del </w:t>
      </w:r>
      <w:r w:rsidR="00D05115" w:rsidRPr="00ED133C">
        <w:rPr>
          <w:rFonts w:ascii="Arial" w:hAnsi="Arial" w:cs="Arial"/>
          <w:szCs w:val="28"/>
        </w:rPr>
        <w:t xml:space="preserve">Real Decreto-ley 3/2004, de 25 de junio, para la racionalización de la regulación del </w:t>
      </w:r>
      <w:r w:rsidR="003F561E" w:rsidRPr="00ED133C">
        <w:rPr>
          <w:rFonts w:ascii="Arial" w:hAnsi="Arial" w:cs="Arial"/>
          <w:szCs w:val="28"/>
        </w:rPr>
        <w:t xml:space="preserve">salario mínimo interprofesional </w:t>
      </w:r>
      <w:r w:rsidR="00D05115" w:rsidRPr="00ED133C">
        <w:rPr>
          <w:rFonts w:ascii="Arial" w:hAnsi="Arial" w:cs="Arial"/>
          <w:szCs w:val="28"/>
        </w:rPr>
        <w:t xml:space="preserve">y </w:t>
      </w:r>
      <w:r w:rsidR="003F561E" w:rsidRPr="00ED133C">
        <w:rPr>
          <w:rFonts w:ascii="Arial" w:hAnsi="Arial" w:cs="Arial"/>
          <w:szCs w:val="28"/>
        </w:rPr>
        <w:t xml:space="preserve">para </w:t>
      </w:r>
      <w:r w:rsidR="00D05115" w:rsidRPr="00ED133C">
        <w:rPr>
          <w:rFonts w:ascii="Arial" w:hAnsi="Arial" w:cs="Arial"/>
          <w:szCs w:val="28"/>
        </w:rPr>
        <w:t>el incremento de su cuantía.</w:t>
      </w:r>
    </w:p>
    <w:p w14:paraId="59A80B1F" w14:textId="30967508" w:rsidR="00D05115" w:rsidRPr="00ED133C" w:rsidRDefault="00D05115" w:rsidP="001D577E">
      <w:pPr>
        <w:spacing w:line="288" w:lineRule="auto"/>
        <w:rPr>
          <w:rFonts w:ascii="Arial" w:hAnsi="Arial" w:cs="Arial"/>
          <w:szCs w:val="28"/>
        </w:rPr>
      </w:pPr>
      <w:r w:rsidRPr="00ED133C">
        <w:rPr>
          <w:rFonts w:ascii="Arial" w:hAnsi="Arial" w:cs="Arial"/>
          <w:szCs w:val="28"/>
        </w:rPr>
        <w:t xml:space="preserve">Con el referido </w:t>
      </w:r>
      <w:r w:rsidR="00E65615" w:rsidRPr="00ED133C">
        <w:rPr>
          <w:rFonts w:ascii="Arial" w:hAnsi="Arial" w:cs="Arial"/>
          <w:szCs w:val="28"/>
        </w:rPr>
        <w:t>r</w:t>
      </w:r>
      <w:r w:rsidRPr="00ED133C">
        <w:rPr>
          <w:rFonts w:ascii="Arial" w:hAnsi="Arial" w:cs="Arial"/>
          <w:szCs w:val="28"/>
        </w:rPr>
        <w:t xml:space="preserve">eal </w:t>
      </w:r>
      <w:r w:rsidR="00E65615" w:rsidRPr="00ED133C">
        <w:rPr>
          <w:rFonts w:ascii="Arial" w:hAnsi="Arial" w:cs="Arial"/>
          <w:szCs w:val="28"/>
        </w:rPr>
        <w:t>d</w:t>
      </w:r>
      <w:r w:rsidRPr="00ED133C">
        <w:rPr>
          <w:rFonts w:ascii="Arial" w:hAnsi="Arial" w:cs="Arial"/>
          <w:szCs w:val="28"/>
        </w:rPr>
        <w:t>ecreto-ley, el SMI recuperó su función estrictamente laboral de servir como garantía salarial mínima de los trabajadores; para ello se procedió a desvincular al SMI de otros efectos o finalidades distintas a la indicada anteriormente que venía cumpliendo hasta entonces</w:t>
      </w:r>
      <w:r w:rsidR="003F561E" w:rsidRPr="00ED133C">
        <w:rPr>
          <w:rFonts w:ascii="Arial" w:hAnsi="Arial" w:cs="Arial"/>
          <w:szCs w:val="28"/>
        </w:rPr>
        <w:t>.</w:t>
      </w:r>
      <w:r w:rsidRPr="00ED133C">
        <w:rPr>
          <w:rFonts w:ascii="Arial" w:hAnsi="Arial" w:cs="Arial"/>
          <w:szCs w:val="28"/>
        </w:rPr>
        <w:t xml:space="preserve"> </w:t>
      </w:r>
      <w:r w:rsidR="003F561E" w:rsidRPr="00ED133C">
        <w:rPr>
          <w:rFonts w:ascii="Arial" w:hAnsi="Arial" w:cs="Arial"/>
          <w:szCs w:val="28"/>
        </w:rPr>
        <w:t>P</w:t>
      </w:r>
      <w:r w:rsidRPr="00ED133C">
        <w:rPr>
          <w:rFonts w:ascii="Arial" w:hAnsi="Arial" w:cs="Arial"/>
          <w:szCs w:val="28"/>
        </w:rPr>
        <w:t>ara sustituir al SMI en esta función</w:t>
      </w:r>
      <w:r w:rsidR="000B2A32" w:rsidRPr="00ED133C">
        <w:rPr>
          <w:rFonts w:ascii="Arial" w:hAnsi="Arial" w:cs="Arial"/>
          <w:szCs w:val="28"/>
        </w:rPr>
        <w:t>,</w:t>
      </w:r>
      <w:r w:rsidRPr="00ED133C">
        <w:rPr>
          <w:rFonts w:ascii="Arial" w:hAnsi="Arial" w:cs="Arial"/>
          <w:szCs w:val="28"/>
        </w:rPr>
        <w:t xml:space="preserve"> el citado </w:t>
      </w:r>
      <w:r w:rsidR="00E65615" w:rsidRPr="00ED133C">
        <w:rPr>
          <w:rFonts w:ascii="Arial" w:hAnsi="Arial" w:cs="Arial"/>
          <w:szCs w:val="28"/>
        </w:rPr>
        <w:t>r</w:t>
      </w:r>
      <w:r w:rsidRPr="00ED133C">
        <w:rPr>
          <w:rFonts w:ascii="Arial" w:hAnsi="Arial" w:cs="Arial"/>
          <w:szCs w:val="28"/>
        </w:rPr>
        <w:t xml:space="preserve">eal </w:t>
      </w:r>
      <w:r w:rsidR="00E65615" w:rsidRPr="00ED133C">
        <w:rPr>
          <w:rFonts w:ascii="Arial" w:hAnsi="Arial" w:cs="Arial"/>
          <w:szCs w:val="28"/>
        </w:rPr>
        <w:t>d</w:t>
      </w:r>
      <w:r w:rsidRPr="00ED133C">
        <w:rPr>
          <w:rFonts w:ascii="Arial" w:hAnsi="Arial" w:cs="Arial"/>
          <w:szCs w:val="28"/>
        </w:rPr>
        <w:t>ecreto-ley creó un nuevo indicador de renta, el indicador público de renta de efectos múltiples (IPREM).</w:t>
      </w:r>
    </w:p>
    <w:p w14:paraId="1EBF88E5" w14:textId="4D4B34B9" w:rsidR="00462D7F" w:rsidRDefault="00462D7F" w:rsidP="001D577E">
      <w:pPr>
        <w:spacing w:line="288" w:lineRule="auto"/>
        <w:rPr>
          <w:rFonts w:ascii="Arial" w:hAnsi="Arial" w:cs="Arial"/>
          <w:szCs w:val="28"/>
        </w:rPr>
      </w:pPr>
    </w:p>
    <w:p w14:paraId="59327ADE" w14:textId="00A07271" w:rsidR="00B61B24" w:rsidRDefault="00B61B24" w:rsidP="001D577E">
      <w:pPr>
        <w:spacing w:line="288" w:lineRule="auto"/>
        <w:rPr>
          <w:rFonts w:ascii="Arial" w:hAnsi="Arial" w:cs="Arial"/>
          <w:szCs w:val="28"/>
        </w:rPr>
      </w:pPr>
    </w:p>
    <w:p w14:paraId="2652F9B9" w14:textId="77777777" w:rsidR="00B61B24" w:rsidRPr="00ED133C" w:rsidRDefault="00B61B24" w:rsidP="001D577E">
      <w:pPr>
        <w:spacing w:line="288" w:lineRule="auto"/>
        <w:rPr>
          <w:rFonts w:ascii="Arial" w:hAnsi="Arial" w:cs="Arial"/>
          <w:szCs w:val="28"/>
        </w:rPr>
      </w:pPr>
    </w:p>
    <w:p w14:paraId="34F36A7F" w14:textId="77777777" w:rsidR="00D05115" w:rsidRPr="00ED133C" w:rsidRDefault="000E6E0E" w:rsidP="001D577E">
      <w:pPr>
        <w:spacing w:line="288" w:lineRule="auto"/>
        <w:rPr>
          <w:rFonts w:ascii="Arial" w:hAnsi="Arial" w:cs="Arial"/>
          <w:szCs w:val="28"/>
        </w:rPr>
      </w:pPr>
      <w:r w:rsidRPr="00ED133C">
        <w:rPr>
          <w:rFonts w:ascii="Arial" w:hAnsi="Arial" w:cs="Arial"/>
          <w:szCs w:val="28"/>
        </w:rPr>
        <w:lastRenderedPageBreak/>
        <w:t xml:space="preserve">2. </w:t>
      </w:r>
      <w:r w:rsidRPr="00ED133C">
        <w:rPr>
          <w:rFonts w:ascii="Arial" w:hAnsi="Arial" w:cs="Arial"/>
          <w:szCs w:val="28"/>
          <w:u w:val="single"/>
        </w:rPr>
        <w:t>OBJETIVOS</w:t>
      </w:r>
    </w:p>
    <w:p w14:paraId="19F846D1" w14:textId="77777777" w:rsidR="00B61B24" w:rsidRDefault="00B61B24" w:rsidP="001D577E">
      <w:pPr>
        <w:spacing w:line="288" w:lineRule="auto"/>
        <w:rPr>
          <w:rFonts w:ascii="Arial" w:hAnsi="Arial" w:cs="Arial"/>
          <w:szCs w:val="28"/>
        </w:rPr>
      </w:pPr>
    </w:p>
    <w:p w14:paraId="7949518A" w14:textId="5842E92D" w:rsidR="000E6E0E" w:rsidRPr="00ED133C" w:rsidRDefault="00FB6375" w:rsidP="001D577E">
      <w:pPr>
        <w:spacing w:line="288" w:lineRule="auto"/>
        <w:rPr>
          <w:rFonts w:ascii="Arial" w:hAnsi="Arial" w:cs="Arial"/>
          <w:szCs w:val="28"/>
        </w:rPr>
      </w:pPr>
      <w:r w:rsidRPr="00ED133C">
        <w:rPr>
          <w:rFonts w:ascii="Arial" w:hAnsi="Arial" w:cs="Arial"/>
          <w:szCs w:val="28"/>
        </w:rPr>
        <w:t>2.1</w:t>
      </w:r>
      <w:r w:rsidR="003165AD" w:rsidRPr="00ED133C">
        <w:rPr>
          <w:rFonts w:ascii="Arial" w:hAnsi="Arial" w:cs="Arial"/>
          <w:szCs w:val="28"/>
        </w:rPr>
        <w:t>.</w:t>
      </w:r>
      <w:r w:rsidRPr="00ED133C">
        <w:rPr>
          <w:rFonts w:ascii="Arial" w:hAnsi="Arial" w:cs="Arial"/>
          <w:szCs w:val="28"/>
        </w:rPr>
        <w:t xml:space="preserve"> </w:t>
      </w:r>
      <w:r w:rsidR="005F3F13" w:rsidRPr="00ED133C">
        <w:rPr>
          <w:rFonts w:ascii="Arial" w:hAnsi="Arial" w:cs="Arial"/>
          <w:szCs w:val="28"/>
        </w:rPr>
        <w:t xml:space="preserve">El </w:t>
      </w:r>
      <w:r w:rsidR="0057201E" w:rsidRPr="00ED133C">
        <w:rPr>
          <w:rFonts w:ascii="Arial" w:hAnsi="Arial" w:cs="Arial"/>
          <w:szCs w:val="28"/>
        </w:rPr>
        <w:t>proyecto normativo persigue c</w:t>
      </w:r>
      <w:r w:rsidR="000E6E0E" w:rsidRPr="00ED133C">
        <w:rPr>
          <w:rFonts w:ascii="Arial" w:hAnsi="Arial" w:cs="Arial"/>
          <w:szCs w:val="28"/>
        </w:rPr>
        <w:t xml:space="preserve">umplir con </w:t>
      </w:r>
      <w:r w:rsidR="0057201E" w:rsidRPr="00ED133C">
        <w:rPr>
          <w:rFonts w:ascii="Arial" w:hAnsi="Arial" w:cs="Arial"/>
          <w:szCs w:val="28"/>
        </w:rPr>
        <w:t>el</w:t>
      </w:r>
      <w:r w:rsidR="000E6E0E" w:rsidRPr="00ED133C">
        <w:rPr>
          <w:rFonts w:ascii="Arial" w:hAnsi="Arial" w:cs="Arial"/>
          <w:szCs w:val="28"/>
        </w:rPr>
        <w:t xml:space="preserve"> mandato legal</w:t>
      </w:r>
      <w:r w:rsidR="009B23D2" w:rsidRPr="00ED133C">
        <w:rPr>
          <w:rFonts w:ascii="Arial" w:hAnsi="Arial" w:cs="Arial"/>
          <w:szCs w:val="28"/>
        </w:rPr>
        <w:t xml:space="preserve"> según el cual</w:t>
      </w:r>
      <w:r w:rsidR="000E6E0E" w:rsidRPr="00ED133C">
        <w:rPr>
          <w:rFonts w:ascii="Arial" w:hAnsi="Arial" w:cs="Arial"/>
          <w:szCs w:val="28"/>
        </w:rPr>
        <w:t xml:space="preserve"> el Gobierno ha de fijar anualmente el </w:t>
      </w:r>
      <w:r w:rsidR="00171CB7" w:rsidRPr="00ED133C">
        <w:rPr>
          <w:rFonts w:ascii="Arial" w:hAnsi="Arial" w:cs="Arial"/>
          <w:szCs w:val="28"/>
        </w:rPr>
        <w:t>SMI</w:t>
      </w:r>
      <w:r w:rsidR="009B23D2" w:rsidRPr="00ED133C">
        <w:rPr>
          <w:rFonts w:ascii="Arial" w:hAnsi="Arial" w:cs="Arial"/>
          <w:szCs w:val="28"/>
        </w:rPr>
        <w:t>. A</w:t>
      </w:r>
      <w:r w:rsidR="000E6E0E" w:rsidRPr="00ED133C">
        <w:rPr>
          <w:rFonts w:ascii="Arial" w:hAnsi="Arial" w:cs="Arial"/>
          <w:szCs w:val="28"/>
        </w:rPr>
        <w:t xml:space="preserve"> su vez</w:t>
      </w:r>
      <w:r w:rsidR="003833B2" w:rsidRPr="00ED133C">
        <w:rPr>
          <w:rFonts w:ascii="Arial" w:hAnsi="Arial" w:cs="Arial"/>
          <w:szCs w:val="28"/>
        </w:rPr>
        <w:t>,</w:t>
      </w:r>
      <w:r w:rsidR="000E6E0E" w:rsidRPr="00ED133C">
        <w:rPr>
          <w:rFonts w:ascii="Arial" w:hAnsi="Arial" w:cs="Arial"/>
          <w:szCs w:val="28"/>
        </w:rPr>
        <w:t xml:space="preserve"> </w:t>
      </w:r>
      <w:r w:rsidR="009B23D2" w:rsidRPr="00ED133C">
        <w:rPr>
          <w:rFonts w:ascii="Arial" w:hAnsi="Arial" w:cs="Arial"/>
          <w:szCs w:val="28"/>
        </w:rPr>
        <w:t xml:space="preserve">ese mandato deriva </w:t>
      </w:r>
      <w:r w:rsidR="000E6E0E" w:rsidRPr="00ED133C">
        <w:rPr>
          <w:rFonts w:ascii="Arial" w:hAnsi="Arial" w:cs="Arial"/>
          <w:szCs w:val="28"/>
        </w:rPr>
        <w:t>de la necesidad de establecer una regulación de carácter estatal para la fijación de salario en todos los sectores de actividad que carezcan de regulación por medio de la negociación colectiva y respecto de los trabajadores que, dentro de dichos sectores, no tengan individualmente reconocidos salarios superiores en sus contratos de trabajo</w:t>
      </w:r>
      <w:r w:rsidR="00AC4827" w:rsidRPr="00ED133C">
        <w:rPr>
          <w:rFonts w:ascii="Arial" w:hAnsi="Arial" w:cs="Arial"/>
          <w:szCs w:val="28"/>
        </w:rPr>
        <w:t>.</w:t>
      </w:r>
      <w:r w:rsidR="00C21D56" w:rsidRPr="00ED133C">
        <w:rPr>
          <w:rFonts w:ascii="Arial" w:hAnsi="Arial" w:cs="Arial"/>
          <w:szCs w:val="28"/>
        </w:rPr>
        <w:t xml:space="preserve"> Este mandato al Gobierno</w:t>
      </w:r>
      <w:r w:rsidR="004B4B7B" w:rsidRPr="00ED133C">
        <w:rPr>
          <w:rFonts w:ascii="Arial" w:hAnsi="Arial" w:cs="Arial"/>
          <w:szCs w:val="28"/>
        </w:rPr>
        <w:t xml:space="preserve"> </w:t>
      </w:r>
      <w:r w:rsidR="00C21D56" w:rsidRPr="00ED133C">
        <w:rPr>
          <w:rFonts w:ascii="Arial" w:hAnsi="Arial" w:cs="Arial"/>
          <w:szCs w:val="28"/>
        </w:rPr>
        <w:t xml:space="preserve">de la fijación anual del SMI se debe llevar a efecto de manera ineludible, </w:t>
      </w:r>
      <w:r w:rsidR="004B4B7B" w:rsidRPr="00ED133C">
        <w:rPr>
          <w:rFonts w:ascii="Arial" w:hAnsi="Arial" w:cs="Arial"/>
          <w:szCs w:val="28"/>
        </w:rPr>
        <w:t xml:space="preserve">cumpliéndose así </w:t>
      </w:r>
      <w:r w:rsidR="00C21D56" w:rsidRPr="00ED133C">
        <w:rPr>
          <w:rFonts w:ascii="Arial" w:hAnsi="Arial" w:cs="Arial"/>
          <w:szCs w:val="28"/>
        </w:rPr>
        <w:t>la finalidad constitucional protectora atribuida al SMI</w:t>
      </w:r>
      <w:r w:rsidR="004B4B7B" w:rsidRPr="00ED133C">
        <w:rPr>
          <w:rFonts w:ascii="Arial" w:hAnsi="Arial" w:cs="Arial"/>
          <w:szCs w:val="28"/>
        </w:rPr>
        <w:t>.</w:t>
      </w:r>
      <w:r w:rsidR="00C21D56" w:rsidRPr="00ED133C">
        <w:rPr>
          <w:rFonts w:ascii="Arial" w:hAnsi="Arial" w:cs="Arial"/>
          <w:szCs w:val="28"/>
        </w:rPr>
        <w:t xml:space="preserve"> </w:t>
      </w:r>
    </w:p>
    <w:p w14:paraId="0CCA1F4F" w14:textId="64C18B74" w:rsidR="00B021D8" w:rsidRPr="00ED133C" w:rsidRDefault="0046669E" w:rsidP="001D577E">
      <w:pPr>
        <w:spacing w:line="288" w:lineRule="auto"/>
        <w:rPr>
          <w:rFonts w:ascii="Arial" w:hAnsi="Arial" w:cs="Arial"/>
          <w:szCs w:val="28"/>
        </w:rPr>
      </w:pPr>
      <w:r w:rsidRPr="00ED133C">
        <w:rPr>
          <w:rFonts w:ascii="Arial" w:hAnsi="Arial" w:cs="Arial"/>
          <w:szCs w:val="28"/>
        </w:rPr>
        <w:t>2.2</w:t>
      </w:r>
      <w:r w:rsidR="003165AD" w:rsidRPr="00ED133C">
        <w:rPr>
          <w:rFonts w:ascii="Arial" w:hAnsi="Arial" w:cs="Arial"/>
          <w:szCs w:val="28"/>
        </w:rPr>
        <w:t>.</w:t>
      </w:r>
      <w:r w:rsidRPr="00ED133C">
        <w:rPr>
          <w:rFonts w:ascii="Arial" w:hAnsi="Arial" w:cs="Arial"/>
          <w:szCs w:val="28"/>
        </w:rPr>
        <w:t xml:space="preserve"> </w:t>
      </w:r>
      <w:r w:rsidR="006B0F16" w:rsidRPr="00ED133C">
        <w:rPr>
          <w:rFonts w:ascii="Arial" w:hAnsi="Arial" w:cs="Arial"/>
          <w:szCs w:val="28"/>
        </w:rPr>
        <w:t>Así, de la aplicación de los criterios establecidos en el artículo 27.1 del Estatuto de los Trabajadores</w:t>
      </w:r>
      <w:r w:rsidR="00F13FB3" w:rsidRPr="00ED133C">
        <w:rPr>
          <w:rFonts w:ascii="Arial" w:hAnsi="Arial" w:cs="Arial"/>
          <w:szCs w:val="28"/>
        </w:rPr>
        <w:t xml:space="preserve"> </w:t>
      </w:r>
      <w:r w:rsidR="006B0F16" w:rsidRPr="00ED133C">
        <w:rPr>
          <w:rFonts w:ascii="Arial" w:hAnsi="Arial" w:cs="Arial"/>
          <w:szCs w:val="28"/>
        </w:rPr>
        <w:t xml:space="preserve">se deriva la necesidad de que, a partir del </w:t>
      </w:r>
      <w:r w:rsidR="006B0F16" w:rsidRPr="00FB346B">
        <w:rPr>
          <w:rFonts w:ascii="Arial" w:hAnsi="Arial" w:cs="Arial"/>
          <w:szCs w:val="28"/>
        </w:rPr>
        <w:t xml:space="preserve">1 de </w:t>
      </w:r>
      <w:r w:rsidR="009C3E1C" w:rsidRPr="00FB346B">
        <w:rPr>
          <w:rFonts w:ascii="Arial" w:hAnsi="Arial" w:cs="Arial"/>
          <w:szCs w:val="28"/>
        </w:rPr>
        <w:t>enero de 202</w:t>
      </w:r>
      <w:r w:rsidR="00FB346B">
        <w:rPr>
          <w:rFonts w:ascii="Arial" w:hAnsi="Arial" w:cs="Arial"/>
          <w:szCs w:val="28"/>
        </w:rPr>
        <w:t>4</w:t>
      </w:r>
      <w:r w:rsidR="003F561E" w:rsidRPr="00ED133C">
        <w:rPr>
          <w:rFonts w:ascii="Arial" w:hAnsi="Arial" w:cs="Arial"/>
          <w:szCs w:val="28"/>
        </w:rPr>
        <w:t>,</w:t>
      </w:r>
      <w:r w:rsidR="009C3E1C" w:rsidRPr="00ED133C">
        <w:rPr>
          <w:rFonts w:ascii="Arial" w:hAnsi="Arial" w:cs="Arial"/>
          <w:szCs w:val="28"/>
        </w:rPr>
        <w:t xml:space="preserve"> </w:t>
      </w:r>
      <w:r w:rsidR="006B0F16" w:rsidRPr="00ED133C">
        <w:rPr>
          <w:rFonts w:ascii="Arial" w:hAnsi="Arial" w:cs="Arial"/>
          <w:szCs w:val="28"/>
        </w:rPr>
        <w:t xml:space="preserve">se </w:t>
      </w:r>
      <w:r w:rsidR="00F13FB3" w:rsidRPr="00ED133C">
        <w:rPr>
          <w:rFonts w:ascii="Arial" w:hAnsi="Arial" w:cs="Arial"/>
          <w:szCs w:val="28"/>
        </w:rPr>
        <w:t>establezca</w:t>
      </w:r>
      <w:r w:rsidR="006B0F16" w:rsidRPr="00ED133C">
        <w:rPr>
          <w:rFonts w:ascii="Arial" w:hAnsi="Arial" w:cs="Arial"/>
          <w:szCs w:val="28"/>
        </w:rPr>
        <w:t xml:space="preserve"> un incremento del salario mínimo interprofesional</w:t>
      </w:r>
      <w:r w:rsidR="00E64E0A" w:rsidRPr="00ED133C">
        <w:rPr>
          <w:rFonts w:ascii="Arial" w:hAnsi="Arial" w:cs="Arial"/>
          <w:szCs w:val="28"/>
        </w:rPr>
        <w:t xml:space="preserve"> </w:t>
      </w:r>
      <w:r w:rsidR="00BA2C01" w:rsidRPr="002058ED">
        <w:rPr>
          <w:rFonts w:ascii="Arial" w:hAnsi="Arial" w:cs="Arial"/>
          <w:szCs w:val="28"/>
        </w:rPr>
        <w:t xml:space="preserve">del </w:t>
      </w:r>
      <w:r w:rsidR="002058ED">
        <w:rPr>
          <w:rFonts w:ascii="Arial" w:hAnsi="Arial" w:cs="Arial"/>
          <w:szCs w:val="28"/>
        </w:rPr>
        <w:t xml:space="preserve">cinco </w:t>
      </w:r>
      <w:r w:rsidR="00BC36E2" w:rsidRPr="002058ED">
        <w:rPr>
          <w:rFonts w:ascii="Arial" w:hAnsi="Arial" w:cs="Arial"/>
          <w:szCs w:val="28"/>
        </w:rPr>
        <w:t>por ciento.</w:t>
      </w:r>
      <w:r w:rsidR="00BC36E2" w:rsidRPr="00ED133C">
        <w:rPr>
          <w:rFonts w:ascii="Arial" w:hAnsi="Arial" w:cs="Arial"/>
          <w:szCs w:val="28"/>
        </w:rPr>
        <w:t xml:space="preserve"> </w:t>
      </w:r>
      <w:r w:rsidR="006B0F16" w:rsidRPr="00ED133C">
        <w:rPr>
          <w:rFonts w:ascii="Arial" w:hAnsi="Arial" w:cs="Arial"/>
          <w:szCs w:val="28"/>
        </w:rPr>
        <w:t>Por lo tanto, l</w:t>
      </w:r>
      <w:r w:rsidR="003D35EA" w:rsidRPr="00ED133C">
        <w:rPr>
          <w:rFonts w:ascii="Arial" w:hAnsi="Arial" w:cs="Arial"/>
          <w:szCs w:val="28"/>
        </w:rPr>
        <w:t xml:space="preserve">as nuevas cuantías, que representan un incremento </w:t>
      </w:r>
      <w:r w:rsidR="00F13FB3" w:rsidRPr="00ED133C">
        <w:rPr>
          <w:rFonts w:ascii="Arial" w:hAnsi="Arial" w:cs="Arial"/>
          <w:szCs w:val="28"/>
        </w:rPr>
        <w:t xml:space="preserve">en tal proporción del salario mínimo interprofesional </w:t>
      </w:r>
      <w:r w:rsidR="003D35EA" w:rsidRPr="00ED133C">
        <w:rPr>
          <w:rFonts w:ascii="Arial" w:hAnsi="Arial" w:cs="Arial"/>
          <w:szCs w:val="28"/>
        </w:rPr>
        <w:t xml:space="preserve">respecto de las vigentes entre </w:t>
      </w:r>
      <w:r w:rsidR="00E64E0A" w:rsidRPr="00ED133C">
        <w:rPr>
          <w:rFonts w:ascii="Arial" w:hAnsi="Arial" w:cs="Arial"/>
          <w:szCs w:val="28"/>
        </w:rPr>
        <w:t>el 1 de enero y el 31 de diciembre de 202</w:t>
      </w:r>
      <w:r w:rsidR="00876984">
        <w:rPr>
          <w:rFonts w:ascii="Arial" w:hAnsi="Arial" w:cs="Arial"/>
          <w:szCs w:val="28"/>
        </w:rPr>
        <w:t>3</w:t>
      </w:r>
      <w:r w:rsidR="00E64E0A" w:rsidRPr="00ED133C">
        <w:rPr>
          <w:rFonts w:ascii="Arial" w:hAnsi="Arial" w:cs="Arial"/>
          <w:szCs w:val="28"/>
        </w:rPr>
        <w:t xml:space="preserve"> </w:t>
      </w:r>
      <w:r w:rsidR="000B0F12" w:rsidRPr="00ED133C">
        <w:rPr>
          <w:rFonts w:ascii="Arial" w:hAnsi="Arial" w:cs="Arial"/>
          <w:szCs w:val="28"/>
        </w:rPr>
        <w:t>son el resultado de tomar en consideración de forma conjunta todos los factores contemplados en el citado artículo 27.1 del Estatuto de los Trabajadores.</w:t>
      </w:r>
    </w:p>
    <w:p w14:paraId="411FDD0F" w14:textId="4473E002" w:rsidR="009648C1" w:rsidRPr="00ED133C" w:rsidRDefault="0083293F" w:rsidP="001D577E">
      <w:pPr>
        <w:spacing w:line="288" w:lineRule="auto"/>
        <w:rPr>
          <w:rFonts w:ascii="Arial" w:hAnsi="Arial" w:cs="Arial"/>
          <w:szCs w:val="28"/>
        </w:rPr>
      </w:pPr>
      <w:r w:rsidRPr="00ED133C">
        <w:rPr>
          <w:rFonts w:ascii="Arial" w:hAnsi="Arial" w:cs="Arial"/>
          <w:szCs w:val="28"/>
        </w:rPr>
        <w:t xml:space="preserve">Asimismo, se ha tenido en cuenta </w:t>
      </w:r>
      <w:r w:rsidR="00E257F8" w:rsidRPr="00ED133C">
        <w:rPr>
          <w:rFonts w:ascii="Arial" w:hAnsi="Arial" w:cs="Arial"/>
          <w:szCs w:val="28"/>
        </w:rPr>
        <w:t>que e</w:t>
      </w:r>
      <w:r w:rsidR="0038782B" w:rsidRPr="00ED133C">
        <w:rPr>
          <w:rFonts w:ascii="Arial" w:hAnsi="Arial" w:cs="Arial"/>
          <w:szCs w:val="28"/>
        </w:rPr>
        <w:t>l salario mínimo</w:t>
      </w:r>
      <w:r w:rsidR="0052437B" w:rsidRPr="00ED133C">
        <w:rPr>
          <w:rFonts w:ascii="Arial" w:hAnsi="Arial" w:cs="Arial"/>
          <w:szCs w:val="28"/>
        </w:rPr>
        <w:t xml:space="preserve"> interprofesional </w:t>
      </w:r>
      <w:r w:rsidR="0038782B" w:rsidRPr="00ED133C">
        <w:rPr>
          <w:rFonts w:ascii="Arial" w:hAnsi="Arial" w:cs="Arial"/>
          <w:szCs w:val="28"/>
        </w:rPr>
        <w:t xml:space="preserve">cumple </w:t>
      </w:r>
      <w:r w:rsidR="0052437B" w:rsidRPr="00ED133C">
        <w:rPr>
          <w:rFonts w:ascii="Arial" w:hAnsi="Arial" w:cs="Arial"/>
          <w:szCs w:val="28"/>
        </w:rPr>
        <w:t>con una función constitucional concreta</w:t>
      </w:r>
      <w:r w:rsidR="00C21D56" w:rsidRPr="00ED133C">
        <w:rPr>
          <w:rFonts w:ascii="Arial" w:hAnsi="Arial" w:cs="Arial"/>
          <w:szCs w:val="28"/>
        </w:rPr>
        <w:t xml:space="preserve"> prevista en el artículo 35 </w:t>
      </w:r>
      <w:r w:rsidR="006D00AF" w:rsidRPr="00ED133C">
        <w:rPr>
          <w:rFonts w:ascii="Arial" w:hAnsi="Arial" w:cs="Arial"/>
          <w:szCs w:val="28"/>
        </w:rPr>
        <w:t>de la Constitución Española</w:t>
      </w:r>
      <w:r w:rsidR="004B4B7B" w:rsidRPr="00ED133C">
        <w:rPr>
          <w:rFonts w:ascii="Arial" w:hAnsi="Arial" w:cs="Arial"/>
          <w:szCs w:val="28"/>
        </w:rPr>
        <w:t xml:space="preserve">, esto es, garantizar una remuneración suficiente para satisfacer </w:t>
      </w:r>
      <w:r w:rsidR="00023FBB" w:rsidRPr="00ED133C">
        <w:rPr>
          <w:rFonts w:ascii="Arial" w:hAnsi="Arial" w:cs="Arial"/>
          <w:szCs w:val="28"/>
        </w:rPr>
        <w:t>las</w:t>
      </w:r>
      <w:r w:rsidR="004B4B7B" w:rsidRPr="00ED133C">
        <w:rPr>
          <w:rFonts w:ascii="Arial" w:hAnsi="Arial" w:cs="Arial"/>
          <w:szCs w:val="28"/>
        </w:rPr>
        <w:t xml:space="preserve"> necesidades</w:t>
      </w:r>
      <w:r w:rsidR="00023FBB" w:rsidRPr="00ED133C">
        <w:rPr>
          <w:rFonts w:ascii="Arial" w:hAnsi="Arial" w:cs="Arial"/>
          <w:szCs w:val="28"/>
        </w:rPr>
        <w:t xml:space="preserve"> de los trabajadores</w:t>
      </w:r>
      <w:r w:rsidR="004B4B7B" w:rsidRPr="00ED133C">
        <w:rPr>
          <w:rFonts w:ascii="Arial" w:hAnsi="Arial" w:cs="Arial"/>
          <w:szCs w:val="28"/>
        </w:rPr>
        <w:t xml:space="preserve"> y las de su</w:t>
      </w:r>
      <w:r w:rsidR="00023FBB" w:rsidRPr="00ED133C">
        <w:rPr>
          <w:rFonts w:ascii="Arial" w:hAnsi="Arial" w:cs="Arial"/>
          <w:szCs w:val="28"/>
        </w:rPr>
        <w:t>s</w:t>
      </w:r>
      <w:r w:rsidR="004B4B7B" w:rsidRPr="00ED133C">
        <w:rPr>
          <w:rFonts w:ascii="Arial" w:hAnsi="Arial" w:cs="Arial"/>
          <w:szCs w:val="28"/>
        </w:rPr>
        <w:t xml:space="preserve"> familia</w:t>
      </w:r>
      <w:r w:rsidR="00023FBB" w:rsidRPr="00ED133C">
        <w:rPr>
          <w:rFonts w:ascii="Arial" w:hAnsi="Arial" w:cs="Arial"/>
          <w:szCs w:val="28"/>
        </w:rPr>
        <w:t>s</w:t>
      </w:r>
      <w:r w:rsidR="00997C77" w:rsidRPr="00ED133C">
        <w:rPr>
          <w:rFonts w:ascii="Arial" w:hAnsi="Arial" w:cs="Arial"/>
          <w:szCs w:val="28"/>
        </w:rPr>
        <w:t>, función que ha sido destacada, entre otras, por la Sentencia del Tribunal Constitucional</w:t>
      </w:r>
      <w:r w:rsidR="00E65615" w:rsidRPr="00ED133C">
        <w:rPr>
          <w:rFonts w:ascii="Arial" w:hAnsi="Arial" w:cs="Arial"/>
          <w:szCs w:val="28"/>
        </w:rPr>
        <w:t xml:space="preserve"> </w:t>
      </w:r>
      <w:r w:rsidR="00997C77" w:rsidRPr="00ED133C">
        <w:rPr>
          <w:rFonts w:ascii="Arial" w:hAnsi="Arial" w:cs="Arial"/>
          <w:szCs w:val="28"/>
        </w:rPr>
        <w:t>31/1984,</w:t>
      </w:r>
      <w:r w:rsidR="00F7139E" w:rsidRPr="00ED133C">
        <w:rPr>
          <w:rFonts w:ascii="Arial" w:hAnsi="Arial" w:cs="Arial"/>
          <w:szCs w:val="28"/>
        </w:rPr>
        <w:t xml:space="preserve"> de 7 de marzo, </w:t>
      </w:r>
      <w:r w:rsidR="00997C77" w:rsidRPr="00ED133C">
        <w:rPr>
          <w:rFonts w:ascii="Arial" w:hAnsi="Arial" w:cs="Arial"/>
          <w:szCs w:val="28"/>
        </w:rPr>
        <w:t>por lo que puede decirse que</w:t>
      </w:r>
      <w:r w:rsidR="006140C0" w:rsidRPr="00ED133C">
        <w:rPr>
          <w:rFonts w:ascii="Arial" w:hAnsi="Arial" w:cs="Arial"/>
          <w:szCs w:val="28"/>
        </w:rPr>
        <w:t>,</w:t>
      </w:r>
      <w:r w:rsidR="00997C77" w:rsidRPr="00ED133C">
        <w:rPr>
          <w:rFonts w:ascii="Arial" w:hAnsi="Arial" w:cs="Arial"/>
          <w:szCs w:val="28"/>
        </w:rPr>
        <w:t xml:space="preserve"> mediante esta intervención estatal, se atiende a un interés social que, sin emb</w:t>
      </w:r>
      <w:r w:rsidR="001F5CAE" w:rsidRPr="00ED133C">
        <w:rPr>
          <w:rFonts w:ascii="Arial" w:hAnsi="Arial" w:cs="Arial"/>
          <w:szCs w:val="28"/>
        </w:rPr>
        <w:t>argo</w:t>
      </w:r>
      <w:r w:rsidR="00997C77" w:rsidRPr="00ED133C">
        <w:rPr>
          <w:rFonts w:ascii="Arial" w:hAnsi="Arial" w:cs="Arial"/>
          <w:szCs w:val="28"/>
        </w:rPr>
        <w:t>, no disminuye el papel de las partes sociales en la consecución de otros mínimos salariales por encima de los indisponibles del mínimo interprofesional.</w:t>
      </w:r>
    </w:p>
    <w:p w14:paraId="7E706D99" w14:textId="78335C50" w:rsidR="00D05115" w:rsidRPr="00ED133C" w:rsidRDefault="003E56BF" w:rsidP="001D577E">
      <w:pPr>
        <w:spacing w:line="288" w:lineRule="auto"/>
        <w:rPr>
          <w:rFonts w:ascii="Arial" w:hAnsi="Arial" w:cs="Arial"/>
          <w:szCs w:val="28"/>
        </w:rPr>
      </w:pPr>
      <w:r w:rsidRPr="00ED133C">
        <w:rPr>
          <w:rFonts w:ascii="Arial" w:hAnsi="Arial" w:cs="Arial"/>
          <w:szCs w:val="28"/>
        </w:rPr>
        <w:t>De esta forma</w:t>
      </w:r>
      <w:r w:rsidR="00D05115" w:rsidRPr="00ED133C">
        <w:rPr>
          <w:rFonts w:ascii="Arial" w:hAnsi="Arial" w:cs="Arial"/>
          <w:szCs w:val="28"/>
        </w:rPr>
        <w:t xml:space="preserve">, las cuantías que tendrá el SMI en el año </w:t>
      </w:r>
      <w:r w:rsidR="00265837" w:rsidRPr="00ED133C">
        <w:rPr>
          <w:rFonts w:ascii="Arial" w:hAnsi="Arial" w:cs="Arial"/>
          <w:szCs w:val="28"/>
        </w:rPr>
        <w:t>20</w:t>
      </w:r>
      <w:r w:rsidR="0052437B" w:rsidRPr="00ED133C">
        <w:rPr>
          <w:rFonts w:ascii="Arial" w:hAnsi="Arial" w:cs="Arial"/>
          <w:szCs w:val="28"/>
        </w:rPr>
        <w:t>2</w:t>
      </w:r>
      <w:r w:rsidR="00876984">
        <w:rPr>
          <w:rFonts w:ascii="Arial" w:hAnsi="Arial" w:cs="Arial"/>
          <w:szCs w:val="28"/>
        </w:rPr>
        <w:t>4</w:t>
      </w:r>
      <w:r w:rsidR="00B021D8" w:rsidRPr="00ED133C">
        <w:rPr>
          <w:rFonts w:ascii="Arial" w:hAnsi="Arial" w:cs="Arial"/>
          <w:szCs w:val="28"/>
        </w:rPr>
        <w:t xml:space="preserve"> a partir del 1 de </w:t>
      </w:r>
      <w:r w:rsidR="009C3E1C" w:rsidRPr="00ED133C">
        <w:rPr>
          <w:rFonts w:ascii="Arial" w:hAnsi="Arial" w:cs="Arial"/>
          <w:szCs w:val="28"/>
        </w:rPr>
        <w:t xml:space="preserve">enero </w:t>
      </w:r>
      <w:r w:rsidR="00D05115" w:rsidRPr="00ED133C">
        <w:rPr>
          <w:rFonts w:ascii="Arial" w:hAnsi="Arial" w:cs="Arial"/>
          <w:szCs w:val="28"/>
        </w:rPr>
        <w:t>serán las siguientes:</w:t>
      </w:r>
    </w:p>
    <w:p w14:paraId="3A298F07" w14:textId="77777777" w:rsidR="00D05115" w:rsidRPr="002058ED" w:rsidRDefault="00D05115" w:rsidP="001D577E">
      <w:pPr>
        <w:spacing w:line="288" w:lineRule="auto"/>
        <w:rPr>
          <w:rFonts w:ascii="Arial" w:hAnsi="Arial" w:cs="Arial"/>
          <w:szCs w:val="28"/>
        </w:rPr>
      </w:pPr>
      <w:r w:rsidRPr="002058ED">
        <w:rPr>
          <w:rFonts w:ascii="Arial" w:hAnsi="Arial" w:cs="Arial"/>
          <w:szCs w:val="28"/>
        </w:rPr>
        <w:t>SMI fijos</w:t>
      </w:r>
      <w:r w:rsidR="004C109C" w:rsidRPr="002058ED">
        <w:rPr>
          <w:rFonts w:ascii="Arial" w:hAnsi="Arial" w:cs="Arial"/>
          <w:szCs w:val="28"/>
        </w:rPr>
        <w:t>:</w:t>
      </w:r>
    </w:p>
    <w:p w14:paraId="6760D08A" w14:textId="48E270E0" w:rsidR="00794010" w:rsidRPr="002058ED" w:rsidRDefault="00D05115" w:rsidP="00BF0024">
      <w:pPr>
        <w:numPr>
          <w:ilvl w:val="0"/>
          <w:numId w:val="12"/>
        </w:numPr>
        <w:spacing w:line="288" w:lineRule="auto"/>
        <w:rPr>
          <w:rFonts w:ascii="Arial" w:hAnsi="Arial" w:cs="Arial"/>
          <w:szCs w:val="28"/>
        </w:rPr>
      </w:pPr>
      <w:r w:rsidRPr="002058ED">
        <w:rPr>
          <w:rFonts w:ascii="Arial" w:hAnsi="Arial" w:cs="Arial"/>
          <w:szCs w:val="28"/>
        </w:rPr>
        <w:t>SMI día:</w:t>
      </w:r>
      <w:r w:rsidR="00352F2F">
        <w:rPr>
          <w:rFonts w:ascii="Arial" w:hAnsi="Arial" w:cs="Arial"/>
          <w:szCs w:val="28"/>
        </w:rPr>
        <w:t xml:space="preserve"> </w:t>
      </w:r>
      <w:r w:rsidR="002058ED">
        <w:rPr>
          <w:rFonts w:ascii="Arial" w:hAnsi="Arial" w:cs="Arial"/>
          <w:szCs w:val="28"/>
        </w:rPr>
        <w:t xml:space="preserve">37,8 </w:t>
      </w:r>
      <w:r w:rsidR="005717C2" w:rsidRPr="002058ED">
        <w:rPr>
          <w:rFonts w:ascii="Arial" w:hAnsi="Arial" w:cs="Arial"/>
          <w:szCs w:val="28"/>
        </w:rPr>
        <w:t>euros</w:t>
      </w:r>
    </w:p>
    <w:p w14:paraId="082D258A" w14:textId="072AF813" w:rsidR="000B0F12" w:rsidRPr="002058ED" w:rsidRDefault="00D05115" w:rsidP="00BF0024">
      <w:pPr>
        <w:numPr>
          <w:ilvl w:val="0"/>
          <w:numId w:val="12"/>
        </w:numPr>
        <w:spacing w:line="288" w:lineRule="auto"/>
        <w:rPr>
          <w:rFonts w:ascii="Arial" w:hAnsi="Arial" w:cs="Arial"/>
          <w:szCs w:val="28"/>
        </w:rPr>
      </w:pPr>
      <w:r w:rsidRPr="002058ED">
        <w:rPr>
          <w:rFonts w:ascii="Arial" w:hAnsi="Arial" w:cs="Arial"/>
          <w:szCs w:val="28"/>
        </w:rPr>
        <w:t>SMI mes</w:t>
      </w:r>
      <w:r w:rsidR="00E15034" w:rsidRPr="002058ED">
        <w:rPr>
          <w:rFonts w:ascii="Arial" w:hAnsi="Arial" w:cs="Arial"/>
          <w:szCs w:val="28"/>
        </w:rPr>
        <w:t>:</w:t>
      </w:r>
      <w:r w:rsidR="00BE02E3" w:rsidRPr="002058ED">
        <w:rPr>
          <w:rFonts w:ascii="Arial" w:hAnsi="Arial" w:cs="Arial"/>
          <w:szCs w:val="28"/>
        </w:rPr>
        <w:t xml:space="preserve"> </w:t>
      </w:r>
      <w:r w:rsidR="002058ED">
        <w:rPr>
          <w:rFonts w:ascii="Arial" w:hAnsi="Arial" w:cs="Arial"/>
          <w:szCs w:val="28"/>
        </w:rPr>
        <w:t xml:space="preserve">1.134 </w:t>
      </w:r>
      <w:r w:rsidR="005717C2" w:rsidRPr="002058ED">
        <w:rPr>
          <w:rFonts w:ascii="Arial" w:hAnsi="Arial" w:cs="Arial"/>
          <w:szCs w:val="28"/>
        </w:rPr>
        <w:t>euros</w:t>
      </w:r>
    </w:p>
    <w:p w14:paraId="2E001689" w14:textId="12430BD6" w:rsidR="00E64E0A" w:rsidRPr="002058ED" w:rsidRDefault="00D05115" w:rsidP="00002ECB">
      <w:pPr>
        <w:numPr>
          <w:ilvl w:val="0"/>
          <w:numId w:val="12"/>
        </w:numPr>
        <w:spacing w:line="288" w:lineRule="auto"/>
        <w:rPr>
          <w:rFonts w:ascii="Arial" w:hAnsi="Arial" w:cs="Arial"/>
          <w:szCs w:val="28"/>
        </w:rPr>
      </w:pPr>
      <w:r w:rsidRPr="002058ED">
        <w:rPr>
          <w:rFonts w:ascii="Arial" w:hAnsi="Arial" w:cs="Arial"/>
          <w:szCs w:val="28"/>
        </w:rPr>
        <w:t>SMI año:</w:t>
      </w:r>
      <w:r w:rsidR="003165AD" w:rsidRPr="002058ED">
        <w:rPr>
          <w:rFonts w:ascii="Arial" w:hAnsi="Arial" w:cs="Arial"/>
          <w:szCs w:val="28"/>
        </w:rPr>
        <w:t xml:space="preserve"> </w:t>
      </w:r>
      <w:r w:rsidR="002058ED">
        <w:rPr>
          <w:rFonts w:ascii="Arial" w:hAnsi="Arial" w:cs="Arial"/>
          <w:szCs w:val="28"/>
        </w:rPr>
        <w:t xml:space="preserve">15.876 </w:t>
      </w:r>
      <w:r w:rsidR="005717C2" w:rsidRPr="002058ED">
        <w:rPr>
          <w:rFonts w:ascii="Arial" w:hAnsi="Arial" w:cs="Arial"/>
          <w:szCs w:val="28"/>
        </w:rPr>
        <w:t>euros</w:t>
      </w:r>
    </w:p>
    <w:p w14:paraId="437F1296" w14:textId="32112136" w:rsidR="00D05115" w:rsidRPr="002058ED" w:rsidRDefault="00D05115" w:rsidP="00002ECB">
      <w:pPr>
        <w:numPr>
          <w:ilvl w:val="0"/>
          <w:numId w:val="12"/>
        </w:numPr>
        <w:spacing w:line="288" w:lineRule="auto"/>
        <w:rPr>
          <w:rFonts w:ascii="Arial" w:hAnsi="Arial" w:cs="Arial"/>
          <w:szCs w:val="28"/>
        </w:rPr>
      </w:pPr>
      <w:r w:rsidRPr="002058ED">
        <w:rPr>
          <w:rFonts w:ascii="Arial" w:hAnsi="Arial" w:cs="Arial"/>
          <w:szCs w:val="28"/>
        </w:rPr>
        <w:lastRenderedPageBreak/>
        <w:t>SMI eventuales</w:t>
      </w:r>
      <w:r w:rsidR="00911298" w:rsidRPr="002058ED">
        <w:rPr>
          <w:rFonts w:ascii="Arial" w:hAnsi="Arial" w:cs="Arial"/>
          <w:szCs w:val="28"/>
        </w:rPr>
        <w:t xml:space="preserve"> y temporeros</w:t>
      </w:r>
      <w:r w:rsidR="009D4C87" w:rsidRPr="002058ED">
        <w:rPr>
          <w:rFonts w:ascii="Arial" w:hAnsi="Arial" w:cs="Arial"/>
          <w:szCs w:val="28"/>
        </w:rPr>
        <w:t>:</w:t>
      </w:r>
      <w:r w:rsidR="009D15D2" w:rsidRPr="002058ED">
        <w:rPr>
          <w:rFonts w:ascii="Arial" w:hAnsi="Arial" w:cs="Arial"/>
          <w:szCs w:val="28"/>
        </w:rPr>
        <w:t xml:space="preserve"> </w:t>
      </w:r>
      <w:r w:rsidR="002058ED">
        <w:rPr>
          <w:rFonts w:ascii="Arial" w:hAnsi="Arial" w:cs="Arial"/>
          <w:szCs w:val="28"/>
        </w:rPr>
        <w:t>53,7</w:t>
      </w:r>
      <w:r w:rsidR="00352F2F">
        <w:rPr>
          <w:rFonts w:ascii="Arial" w:hAnsi="Arial" w:cs="Arial"/>
          <w:szCs w:val="28"/>
        </w:rPr>
        <w:t>1</w:t>
      </w:r>
      <w:r w:rsidR="002058ED">
        <w:rPr>
          <w:rFonts w:ascii="Arial" w:hAnsi="Arial" w:cs="Arial"/>
          <w:szCs w:val="28"/>
        </w:rPr>
        <w:t xml:space="preserve"> </w:t>
      </w:r>
      <w:r w:rsidR="009D15D2" w:rsidRPr="002058ED">
        <w:rPr>
          <w:rFonts w:ascii="Arial" w:hAnsi="Arial" w:cs="Arial"/>
          <w:szCs w:val="28"/>
        </w:rPr>
        <w:t>euros</w:t>
      </w:r>
    </w:p>
    <w:p w14:paraId="752255C5" w14:textId="39D99C48" w:rsidR="00D05115" w:rsidRPr="002058ED" w:rsidRDefault="00D05115" w:rsidP="00002ECB">
      <w:pPr>
        <w:numPr>
          <w:ilvl w:val="0"/>
          <w:numId w:val="13"/>
        </w:numPr>
        <w:spacing w:line="288" w:lineRule="auto"/>
        <w:rPr>
          <w:rFonts w:ascii="Arial" w:hAnsi="Arial" w:cs="Arial"/>
          <w:szCs w:val="28"/>
        </w:rPr>
      </w:pPr>
      <w:r w:rsidRPr="002058ED">
        <w:rPr>
          <w:rFonts w:ascii="Arial" w:hAnsi="Arial" w:cs="Arial"/>
          <w:szCs w:val="28"/>
        </w:rPr>
        <w:t>SMI empleados de hogar</w:t>
      </w:r>
      <w:r w:rsidR="009D4C87" w:rsidRPr="002058ED">
        <w:rPr>
          <w:rFonts w:ascii="Arial" w:hAnsi="Arial" w:cs="Arial"/>
          <w:szCs w:val="28"/>
        </w:rPr>
        <w:t>:</w:t>
      </w:r>
    </w:p>
    <w:p w14:paraId="41415097" w14:textId="6FCEA099" w:rsidR="000B0F12" w:rsidRPr="002058ED" w:rsidRDefault="00D05115" w:rsidP="00BF0024">
      <w:pPr>
        <w:numPr>
          <w:ilvl w:val="0"/>
          <w:numId w:val="13"/>
        </w:numPr>
        <w:spacing w:line="288" w:lineRule="auto"/>
        <w:rPr>
          <w:rFonts w:ascii="Arial" w:hAnsi="Arial" w:cs="Arial"/>
          <w:szCs w:val="28"/>
        </w:rPr>
      </w:pPr>
      <w:r w:rsidRPr="002058ED">
        <w:rPr>
          <w:rFonts w:ascii="Arial" w:hAnsi="Arial" w:cs="Arial"/>
          <w:szCs w:val="28"/>
        </w:rPr>
        <w:t>SMI hora:</w:t>
      </w:r>
      <w:r w:rsidR="00CF6791" w:rsidRPr="002058ED">
        <w:rPr>
          <w:rFonts w:ascii="Arial" w:hAnsi="Arial" w:cs="Arial"/>
          <w:szCs w:val="28"/>
        </w:rPr>
        <w:t xml:space="preserve"> </w:t>
      </w:r>
      <w:r w:rsidR="002058ED">
        <w:rPr>
          <w:rFonts w:ascii="Arial" w:hAnsi="Arial" w:cs="Arial"/>
          <w:szCs w:val="28"/>
        </w:rPr>
        <w:t>8,87</w:t>
      </w:r>
      <w:r w:rsidR="005717C2" w:rsidRPr="002058ED">
        <w:rPr>
          <w:rFonts w:ascii="Arial" w:hAnsi="Arial" w:cs="Arial"/>
          <w:szCs w:val="28"/>
        </w:rPr>
        <w:t xml:space="preserve"> euros</w:t>
      </w:r>
    </w:p>
    <w:p w14:paraId="01BD8B99" w14:textId="77777777" w:rsidR="00462D7F" w:rsidRPr="00ED133C" w:rsidRDefault="00462D7F" w:rsidP="001D577E">
      <w:pPr>
        <w:spacing w:line="288" w:lineRule="auto"/>
        <w:rPr>
          <w:rFonts w:ascii="Arial" w:hAnsi="Arial" w:cs="Arial"/>
          <w:szCs w:val="28"/>
        </w:rPr>
      </w:pPr>
    </w:p>
    <w:p w14:paraId="5FA11EC8" w14:textId="77777777" w:rsidR="008C7108" w:rsidRPr="00ED133C" w:rsidRDefault="000E6E0E" w:rsidP="001D577E">
      <w:pPr>
        <w:spacing w:line="288" w:lineRule="auto"/>
        <w:rPr>
          <w:rFonts w:ascii="Arial" w:hAnsi="Arial" w:cs="Arial"/>
          <w:szCs w:val="28"/>
          <w:u w:val="single"/>
        </w:rPr>
      </w:pPr>
      <w:r w:rsidRPr="00ED133C">
        <w:rPr>
          <w:rFonts w:ascii="Arial" w:hAnsi="Arial" w:cs="Arial"/>
          <w:szCs w:val="28"/>
        </w:rPr>
        <w:t xml:space="preserve">3. </w:t>
      </w:r>
      <w:r w:rsidR="0014202B" w:rsidRPr="00ED133C">
        <w:rPr>
          <w:rFonts w:ascii="Arial" w:hAnsi="Arial" w:cs="Arial"/>
          <w:szCs w:val="28"/>
          <w:u w:val="single"/>
        </w:rPr>
        <w:t xml:space="preserve">ANÁLISIS DE </w:t>
      </w:r>
      <w:r w:rsidRPr="00ED133C">
        <w:rPr>
          <w:rFonts w:ascii="Arial" w:hAnsi="Arial" w:cs="Arial"/>
          <w:szCs w:val="28"/>
          <w:u w:val="single"/>
        </w:rPr>
        <w:t>ALTERNATIVAS</w:t>
      </w:r>
    </w:p>
    <w:p w14:paraId="4326D352" w14:textId="31FC3A04" w:rsidR="00C57E8A" w:rsidRPr="00ED133C" w:rsidRDefault="0035510C" w:rsidP="00C57E8A">
      <w:pPr>
        <w:spacing w:line="288" w:lineRule="auto"/>
        <w:rPr>
          <w:rFonts w:ascii="Arial" w:hAnsi="Arial" w:cs="Arial"/>
          <w:szCs w:val="28"/>
        </w:rPr>
      </w:pPr>
      <w:r w:rsidRPr="00ED133C">
        <w:rPr>
          <w:rFonts w:ascii="Arial" w:hAnsi="Arial" w:cs="Arial"/>
          <w:szCs w:val="28"/>
        </w:rPr>
        <w:t>En el proceso de elaboración de este real decreto se ha considerado como alternativa la fijación del salario mínimo interprofesional para 202</w:t>
      </w:r>
      <w:r w:rsidR="00876984">
        <w:rPr>
          <w:rFonts w:ascii="Arial" w:hAnsi="Arial" w:cs="Arial"/>
          <w:szCs w:val="28"/>
        </w:rPr>
        <w:t>4</w:t>
      </w:r>
      <w:r w:rsidR="00E64E0A" w:rsidRPr="00ED133C">
        <w:rPr>
          <w:rFonts w:ascii="Arial" w:hAnsi="Arial" w:cs="Arial"/>
          <w:szCs w:val="28"/>
        </w:rPr>
        <w:t xml:space="preserve"> </w:t>
      </w:r>
      <w:r w:rsidRPr="00ED133C">
        <w:rPr>
          <w:rFonts w:ascii="Arial" w:hAnsi="Arial" w:cs="Arial"/>
          <w:szCs w:val="28"/>
        </w:rPr>
        <w:t xml:space="preserve">en la cuantía antes referida. Esta ha sido la alternativa que finalmente se pretende llevar a cabo, </w:t>
      </w:r>
      <w:r w:rsidR="00C57E8A" w:rsidRPr="00ED133C">
        <w:rPr>
          <w:rFonts w:ascii="Arial" w:hAnsi="Arial" w:cs="Arial"/>
          <w:szCs w:val="28"/>
        </w:rPr>
        <w:t>atendiendo a</w:t>
      </w:r>
      <w:r w:rsidR="00011192" w:rsidRPr="00ED133C">
        <w:rPr>
          <w:rFonts w:ascii="Arial" w:hAnsi="Arial" w:cs="Arial"/>
          <w:szCs w:val="28"/>
        </w:rPr>
        <w:t xml:space="preserve"> la combinación de circunstancias que, de acuerdo con los criterios establecidos en el artículo 27.1 del Estatuto de los Trabajadores, </w:t>
      </w:r>
      <w:r w:rsidR="00C57E8A" w:rsidRPr="00ED133C">
        <w:rPr>
          <w:rFonts w:ascii="Arial" w:hAnsi="Arial" w:cs="Arial"/>
          <w:szCs w:val="28"/>
        </w:rPr>
        <w:t>exigen la intervención del Gobierno a través de la fijación del SMI para 202</w:t>
      </w:r>
      <w:r w:rsidR="00FB346B">
        <w:rPr>
          <w:rFonts w:ascii="Arial" w:hAnsi="Arial" w:cs="Arial"/>
          <w:szCs w:val="28"/>
        </w:rPr>
        <w:t>4</w:t>
      </w:r>
      <w:r w:rsidR="00C57E8A" w:rsidRPr="00ED133C">
        <w:rPr>
          <w:rFonts w:ascii="Arial" w:hAnsi="Arial" w:cs="Arial"/>
          <w:szCs w:val="28"/>
        </w:rPr>
        <w:t xml:space="preserve">. </w:t>
      </w:r>
    </w:p>
    <w:p w14:paraId="4385DA83" w14:textId="601B6E0F" w:rsidR="0035510C" w:rsidRPr="00ED133C" w:rsidRDefault="00C57E8A" w:rsidP="0035510C">
      <w:pPr>
        <w:spacing w:line="288" w:lineRule="auto"/>
        <w:rPr>
          <w:rFonts w:ascii="Arial" w:hAnsi="Arial" w:cs="Arial"/>
          <w:szCs w:val="28"/>
        </w:rPr>
      </w:pPr>
      <w:r w:rsidRPr="00ED133C">
        <w:rPr>
          <w:rFonts w:ascii="Arial" w:hAnsi="Arial" w:cs="Arial"/>
          <w:szCs w:val="28"/>
        </w:rPr>
        <w:t>Asimismo, es necesario cumplir con el mandato legal de revisar la cuantía del SMI anualmente de conformidad con lo establecido en el artículo 27.1 del Estatuto de los Trabajadores para garantizar el cumplimiento de la función que aquel tiene atribuida y, de otro lado, la limitada vigencia de los sucesivos reales decretos, que agotan sus efectos el 31 de diciembre del año natural o que</w:t>
      </w:r>
      <w:r w:rsidR="00A54227" w:rsidRPr="002058ED">
        <w:rPr>
          <w:rFonts w:ascii="Arial" w:hAnsi="Arial" w:cs="Arial"/>
          <w:szCs w:val="28"/>
        </w:rPr>
        <w:t xml:space="preserve">, como es el caso, </w:t>
      </w:r>
      <w:r w:rsidRPr="002058ED">
        <w:rPr>
          <w:rFonts w:ascii="Arial" w:hAnsi="Arial" w:cs="Arial"/>
          <w:szCs w:val="28"/>
        </w:rPr>
        <w:t>prorrogan sus efectos con un marcado efecto limitado hasta tanto se apruebe el real decreto por el que se fija el salario mínimo interprofesional para el año 202</w:t>
      </w:r>
      <w:r w:rsidR="00876984" w:rsidRPr="002058ED">
        <w:rPr>
          <w:rFonts w:ascii="Arial" w:hAnsi="Arial" w:cs="Arial"/>
          <w:szCs w:val="28"/>
        </w:rPr>
        <w:t>4</w:t>
      </w:r>
      <w:r w:rsidRPr="002058ED">
        <w:rPr>
          <w:rFonts w:ascii="Arial" w:hAnsi="Arial" w:cs="Arial"/>
          <w:szCs w:val="28"/>
        </w:rPr>
        <w:t>, obligan a adoptar la norma prevista.</w:t>
      </w:r>
    </w:p>
    <w:p w14:paraId="011CB8BF" w14:textId="77777777" w:rsidR="0035510C" w:rsidRPr="00ED133C" w:rsidRDefault="0035510C" w:rsidP="0035510C">
      <w:pPr>
        <w:spacing w:line="288" w:lineRule="auto"/>
        <w:rPr>
          <w:rFonts w:ascii="Arial" w:hAnsi="Arial" w:cs="Arial"/>
          <w:szCs w:val="28"/>
        </w:rPr>
      </w:pPr>
      <w:r w:rsidRPr="00ED133C">
        <w:rPr>
          <w:rFonts w:ascii="Arial" w:hAnsi="Arial" w:cs="Arial"/>
          <w:szCs w:val="28"/>
        </w:rPr>
        <w:t>Por otro lado, se consideró la posibilidad de</w:t>
      </w:r>
      <w:r w:rsidR="00C57E8A" w:rsidRPr="00ED133C">
        <w:rPr>
          <w:rFonts w:ascii="Arial" w:hAnsi="Arial" w:cs="Arial"/>
          <w:szCs w:val="28"/>
        </w:rPr>
        <w:t xml:space="preserve"> fijar tanto una cuantía como un periodo de aplicación diferentes. No obstante, todas las alternativas diversas en este sentido a la escogida se han descartado, optando por la señalada anteriormente debido a que se</w:t>
      </w:r>
      <w:r w:rsidR="001D77C2" w:rsidRPr="00ED133C">
        <w:rPr>
          <w:rFonts w:ascii="Arial" w:hAnsi="Arial" w:cs="Arial"/>
          <w:szCs w:val="28"/>
        </w:rPr>
        <w:t xml:space="preserve"> la</w:t>
      </w:r>
      <w:r w:rsidR="00C57E8A" w:rsidRPr="00ED133C">
        <w:rPr>
          <w:rFonts w:ascii="Arial" w:hAnsi="Arial" w:cs="Arial"/>
          <w:szCs w:val="28"/>
        </w:rPr>
        <w:t xml:space="preserve"> considera idónea para responder a las circunstancias señaladas de forma efectiva y de acuerdo con lo dispuesto en el artículo 27.1 del Estatuto de los Trabajadores.</w:t>
      </w:r>
    </w:p>
    <w:p w14:paraId="45E8331B" w14:textId="47B58B61" w:rsidR="007E06AF" w:rsidRPr="00ED133C" w:rsidRDefault="0035510C" w:rsidP="001D577E">
      <w:pPr>
        <w:spacing w:line="288" w:lineRule="auto"/>
        <w:rPr>
          <w:rFonts w:ascii="Arial" w:hAnsi="Arial" w:cs="Arial"/>
          <w:szCs w:val="28"/>
        </w:rPr>
      </w:pPr>
      <w:r w:rsidRPr="00ED133C">
        <w:rPr>
          <w:rFonts w:ascii="Arial" w:hAnsi="Arial" w:cs="Arial"/>
          <w:szCs w:val="28"/>
        </w:rPr>
        <w:t xml:space="preserve">Finalmente, </w:t>
      </w:r>
      <w:r w:rsidR="00A6631F" w:rsidRPr="00ED133C">
        <w:rPr>
          <w:rFonts w:ascii="Arial" w:hAnsi="Arial" w:cs="Arial"/>
          <w:szCs w:val="28"/>
        </w:rPr>
        <w:t xml:space="preserve">y en cuanto a la </w:t>
      </w:r>
      <w:r w:rsidRPr="00ED133C">
        <w:rPr>
          <w:rFonts w:ascii="Arial" w:hAnsi="Arial" w:cs="Arial"/>
          <w:szCs w:val="28"/>
        </w:rPr>
        <w:t xml:space="preserve">posibilidad </w:t>
      </w:r>
      <w:r w:rsidR="00C57E8A" w:rsidRPr="00ED133C">
        <w:rPr>
          <w:rFonts w:ascii="Arial" w:hAnsi="Arial" w:cs="Arial"/>
          <w:szCs w:val="28"/>
        </w:rPr>
        <w:t>consistente en no fijar la cuantía del SMI</w:t>
      </w:r>
      <w:r w:rsidR="00A6631F" w:rsidRPr="00ED133C">
        <w:rPr>
          <w:rFonts w:ascii="Arial" w:hAnsi="Arial" w:cs="Arial"/>
          <w:szCs w:val="28"/>
        </w:rPr>
        <w:t>, esta opción ha sido descartada por cuanto n</w:t>
      </w:r>
      <w:r w:rsidR="004837DD" w:rsidRPr="00ED133C">
        <w:rPr>
          <w:rFonts w:ascii="Arial" w:hAnsi="Arial" w:cs="Arial"/>
          <w:szCs w:val="28"/>
        </w:rPr>
        <w:t xml:space="preserve">o adoptar un real decreto </w:t>
      </w:r>
      <w:r w:rsidR="007E06AF" w:rsidRPr="00ED133C">
        <w:rPr>
          <w:rFonts w:ascii="Arial" w:hAnsi="Arial" w:cs="Arial"/>
          <w:szCs w:val="28"/>
        </w:rPr>
        <w:t>con el contenido establecido supondría dejar al arbitrio de las partes la fijación del salario</w:t>
      </w:r>
      <w:r w:rsidR="00004A36" w:rsidRPr="00ED133C">
        <w:rPr>
          <w:rFonts w:ascii="Arial" w:hAnsi="Arial" w:cs="Arial"/>
          <w:szCs w:val="28"/>
        </w:rPr>
        <w:t>,</w:t>
      </w:r>
      <w:r w:rsidR="007E06AF" w:rsidRPr="00ED133C">
        <w:rPr>
          <w:rFonts w:ascii="Arial" w:hAnsi="Arial" w:cs="Arial"/>
          <w:szCs w:val="28"/>
        </w:rPr>
        <w:t xml:space="preserve"> dejando desprotegidos a los colectivos más vulnerables y desfavorecidos y aquellos que presentan menor capacidad de negociación.</w:t>
      </w:r>
    </w:p>
    <w:p w14:paraId="77FD63BB" w14:textId="700FBE93" w:rsidR="00462D7F" w:rsidRDefault="00462D7F" w:rsidP="001D577E">
      <w:pPr>
        <w:spacing w:line="288" w:lineRule="auto"/>
        <w:rPr>
          <w:rFonts w:ascii="Arial" w:hAnsi="Arial" w:cs="Arial"/>
          <w:szCs w:val="28"/>
        </w:rPr>
      </w:pPr>
    </w:p>
    <w:p w14:paraId="270EFAA6" w14:textId="04B285DB" w:rsidR="00B61B24" w:rsidRDefault="00B61B24" w:rsidP="001D577E">
      <w:pPr>
        <w:spacing w:line="288" w:lineRule="auto"/>
        <w:rPr>
          <w:rFonts w:ascii="Arial" w:hAnsi="Arial" w:cs="Arial"/>
          <w:szCs w:val="28"/>
        </w:rPr>
      </w:pPr>
    </w:p>
    <w:p w14:paraId="4FC5C3FA" w14:textId="77777777" w:rsidR="00B61B24" w:rsidRPr="00ED133C" w:rsidRDefault="00B61B24" w:rsidP="001D577E">
      <w:pPr>
        <w:spacing w:line="288" w:lineRule="auto"/>
        <w:rPr>
          <w:rFonts w:ascii="Arial" w:hAnsi="Arial" w:cs="Arial"/>
          <w:szCs w:val="28"/>
        </w:rPr>
      </w:pPr>
    </w:p>
    <w:p w14:paraId="4EE7E8D4" w14:textId="77777777" w:rsidR="00A13727" w:rsidRPr="00ED133C" w:rsidRDefault="00A13727" w:rsidP="001D577E">
      <w:pPr>
        <w:spacing w:line="288" w:lineRule="auto"/>
        <w:rPr>
          <w:rFonts w:ascii="Arial" w:hAnsi="Arial" w:cs="Arial"/>
          <w:szCs w:val="28"/>
        </w:rPr>
      </w:pPr>
      <w:r w:rsidRPr="00ED133C">
        <w:rPr>
          <w:rFonts w:ascii="Arial" w:hAnsi="Arial" w:cs="Arial"/>
          <w:szCs w:val="28"/>
        </w:rPr>
        <w:lastRenderedPageBreak/>
        <w:t xml:space="preserve">4. </w:t>
      </w:r>
      <w:r w:rsidR="00AC162C" w:rsidRPr="00ED133C">
        <w:rPr>
          <w:rFonts w:ascii="Arial" w:hAnsi="Arial" w:cs="Arial"/>
          <w:szCs w:val="28"/>
        </w:rPr>
        <w:t xml:space="preserve"> </w:t>
      </w:r>
      <w:r w:rsidRPr="00ED133C">
        <w:rPr>
          <w:rFonts w:ascii="Arial" w:hAnsi="Arial" w:cs="Arial"/>
          <w:szCs w:val="28"/>
          <w:u w:val="single"/>
        </w:rPr>
        <w:t>ADECUACIÓN A LOS PRINCIPIOS DE BUENA REGULACIÓN</w:t>
      </w:r>
    </w:p>
    <w:p w14:paraId="149B8F4B" w14:textId="77777777" w:rsidR="00B61B24" w:rsidRDefault="00B61B24" w:rsidP="001D577E">
      <w:pPr>
        <w:spacing w:line="288" w:lineRule="auto"/>
        <w:rPr>
          <w:rFonts w:ascii="Arial" w:hAnsi="Arial" w:cs="Arial"/>
          <w:szCs w:val="28"/>
        </w:rPr>
      </w:pPr>
    </w:p>
    <w:p w14:paraId="31DBFC6F" w14:textId="70FC281B" w:rsidR="00A13727" w:rsidRPr="00ED133C" w:rsidRDefault="00A13727" w:rsidP="001D577E">
      <w:pPr>
        <w:spacing w:line="288" w:lineRule="auto"/>
        <w:rPr>
          <w:rFonts w:ascii="Arial" w:hAnsi="Arial" w:cs="Arial"/>
          <w:szCs w:val="28"/>
        </w:rPr>
      </w:pPr>
      <w:r w:rsidRPr="00ED133C">
        <w:rPr>
          <w:rFonts w:ascii="Arial" w:hAnsi="Arial" w:cs="Arial"/>
          <w:szCs w:val="28"/>
        </w:rPr>
        <w:t>Este real decreto cumple con los principios de buena regulación exigibles conforme al artículo 129 de la Ley 39/2015, de 1 de octubre, del Procedimiento Administrativo Común de las Administraciones Públicas. Así, responde a la necesidad de cumplir con el mandato previsto en el artículo 27.1 del Estatuto de los Trabajadores de fijar anualmente el salario mínimo interprofesional</w:t>
      </w:r>
      <w:r w:rsidR="00876984">
        <w:rPr>
          <w:rFonts w:ascii="Arial" w:hAnsi="Arial" w:cs="Arial"/>
          <w:szCs w:val="28"/>
        </w:rPr>
        <w:t xml:space="preserve">. </w:t>
      </w:r>
      <w:r w:rsidRPr="00ED133C">
        <w:rPr>
          <w:rFonts w:ascii="Arial" w:hAnsi="Arial" w:cs="Arial"/>
          <w:szCs w:val="28"/>
        </w:rPr>
        <w:t>Es eficaz y proporcional, ya que regula los aspectos imprescindibles para posibilitar el conocimiento, efectos y aplicación de dicho salario mínimo interprofesional, que cumple con el doble objetivo de constituir un suelo mínimo de contratación y determinar lo que se considera el nivel de suficiencia de los salarios. Cumple también con el principio de transparencia, ya que identifica claramente su propósito y se ofrece una explicación completa de su contenido. Dado que se trata de una norma que regula un aspecto parcial de la materia, su tramitación se encuentra exenta de la consulta pública previa</w:t>
      </w:r>
      <w:r w:rsidR="00BE02E3" w:rsidRPr="00ED133C">
        <w:rPr>
          <w:rFonts w:ascii="Arial" w:hAnsi="Arial" w:cs="Arial"/>
          <w:szCs w:val="28"/>
        </w:rPr>
        <w:t xml:space="preserve">, artículo 26.2 </w:t>
      </w:r>
      <w:r w:rsidR="00CD2D7B" w:rsidRPr="00ED133C">
        <w:rPr>
          <w:rFonts w:ascii="Arial" w:hAnsi="Arial" w:cs="Arial"/>
          <w:szCs w:val="28"/>
        </w:rPr>
        <w:t xml:space="preserve">de la </w:t>
      </w:r>
      <w:r w:rsidR="00BE02E3" w:rsidRPr="00ED133C">
        <w:rPr>
          <w:rFonts w:ascii="Arial" w:hAnsi="Arial" w:cs="Arial"/>
          <w:szCs w:val="28"/>
        </w:rPr>
        <w:t>L</w:t>
      </w:r>
      <w:r w:rsidR="00BF1A47" w:rsidRPr="00ED133C">
        <w:rPr>
          <w:rFonts w:ascii="Arial" w:hAnsi="Arial" w:cs="Arial"/>
          <w:szCs w:val="28"/>
        </w:rPr>
        <w:t>ey 50/1997</w:t>
      </w:r>
      <w:r w:rsidR="00BE02E3" w:rsidRPr="00ED133C">
        <w:rPr>
          <w:rFonts w:ascii="Arial" w:hAnsi="Arial" w:cs="Arial"/>
          <w:szCs w:val="28"/>
        </w:rPr>
        <w:t>,</w:t>
      </w:r>
      <w:r w:rsidR="00CD2D7B" w:rsidRPr="00ED133C">
        <w:rPr>
          <w:rFonts w:ascii="Arial" w:hAnsi="Arial" w:cs="Arial"/>
          <w:szCs w:val="28"/>
        </w:rPr>
        <w:t xml:space="preserve"> de 27 de noviembre,</w:t>
      </w:r>
      <w:r w:rsidRPr="00ED133C">
        <w:rPr>
          <w:rFonts w:ascii="Arial" w:hAnsi="Arial" w:cs="Arial"/>
          <w:szCs w:val="28"/>
        </w:rPr>
        <w:t xml:space="preserve"> y ha sido sometida a los trámites de audiencia e información públicas</w:t>
      </w:r>
      <w:r w:rsidR="00004A36" w:rsidRPr="00ED133C">
        <w:rPr>
          <w:rFonts w:ascii="Arial" w:hAnsi="Arial" w:cs="Arial"/>
          <w:szCs w:val="28"/>
        </w:rPr>
        <w:t xml:space="preserve"> y</w:t>
      </w:r>
      <w:r w:rsidRPr="00ED133C">
        <w:rPr>
          <w:rFonts w:ascii="Arial" w:hAnsi="Arial" w:cs="Arial"/>
          <w:szCs w:val="28"/>
        </w:rPr>
        <w:t>, de manera específica, a la previa consulta de las organizaciones sindicales y patronales más representativas</w:t>
      </w:r>
      <w:r w:rsidR="00BE02E3" w:rsidRPr="00ED133C">
        <w:rPr>
          <w:rFonts w:ascii="Arial" w:hAnsi="Arial" w:cs="Arial"/>
          <w:szCs w:val="28"/>
        </w:rPr>
        <w:t xml:space="preserve">, de conformidad con la exigencia prevista en el propio artículo 27.1 </w:t>
      </w:r>
      <w:r w:rsidR="00135C83" w:rsidRPr="00ED133C">
        <w:rPr>
          <w:rFonts w:ascii="Arial" w:hAnsi="Arial" w:cs="Arial"/>
          <w:szCs w:val="28"/>
        </w:rPr>
        <w:t>del Estatuto de los Trabajadores</w:t>
      </w:r>
      <w:r w:rsidRPr="00ED133C">
        <w:rPr>
          <w:rFonts w:ascii="Arial" w:hAnsi="Arial" w:cs="Arial"/>
          <w:szCs w:val="28"/>
        </w:rPr>
        <w:t>. Finalmente, es coherente con el resto del ordenamiento jurídico nacional y cumple con el principio de eficiencia, dado que su aplicación no impone cargas administrativas innecesarias o accesorias.</w:t>
      </w:r>
    </w:p>
    <w:p w14:paraId="5F700BFC" w14:textId="77777777" w:rsidR="00462D7F" w:rsidRPr="00ED133C" w:rsidRDefault="00462D7F" w:rsidP="00AC162C">
      <w:pPr>
        <w:spacing w:line="288" w:lineRule="auto"/>
        <w:rPr>
          <w:rFonts w:ascii="Arial" w:hAnsi="Arial" w:cs="Arial"/>
          <w:szCs w:val="28"/>
        </w:rPr>
      </w:pPr>
    </w:p>
    <w:p w14:paraId="68889E55" w14:textId="77777777" w:rsidR="00AC162C" w:rsidRPr="00ED133C" w:rsidRDefault="00AC162C" w:rsidP="00AC162C">
      <w:pPr>
        <w:spacing w:line="288" w:lineRule="auto"/>
        <w:rPr>
          <w:rFonts w:ascii="Arial" w:hAnsi="Arial" w:cs="Arial"/>
          <w:szCs w:val="28"/>
          <w:u w:val="single"/>
        </w:rPr>
      </w:pPr>
      <w:r w:rsidRPr="00ED133C">
        <w:rPr>
          <w:rFonts w:ascii="Arial" w:hAnsi="Arial" w:cs="Arial"/>
          <w:szCs w:val="28"/>
        </w:rPr>
        <w:t xml:space="preserve">5. </w:t>
      </w:r>
      <w:r w:rsidRPr="00ED133C">
        <w:rPr>
          <w:rFonts w:ascii="Arial" w:hAnsi="Arial" w:cs="Arial"/>
          <w:szCs w:val="28"/>
          <w:u w:val="single"/>
        </w:rPr>
        <w:t>PLAN ANUAL NORMATIVO</w:t>
      </w:r>
    </w:p>
    <w:p w14:paraId="3A2AEB1E" w14:textId="77777777" w:rsidR="00B61B24" w:rsidRDefault="00B61B24" w:rsidP="00AC162C">
      <w:pPr>
        <w:spacing w:line="288" w:lineRule="auto"/>
        <w:rPr>
          <w:rFonts w:ascii="Arial" w:hAnsi="Arial" w:cs="Arial"/>
          <w:szCs w:val="28"/>
        </w:rPr>
      </w:pPr>
    </w:p>
    <w:p w14:paraId="5C2F1046" w14:textId="2ED4F0E9" w:rsidR="00AC162C" w:rsidRPr="00ED133C" w:rsidRDefault="00AC162C" w:rsidP="00AC162C">
      <w:pPr>
        <w:spacing w:line="288" w:lineRule="auto"/>
        <w:rPr>
          <w:rFonts w:ascii="Arial" w:hAnsi="Arial" w:cs="Arial"/>
          <w:szCs w:val="28"/>
        </w:rPr>
      </w:pPr>
      <w:r w:rsidRPr="00ED133C">
        <w:rPr>
          <w:rFonts w:ascii="Arial" w:hAnsi="Arial" w:cs="Arial"/>
          <w:szCs w:val="28"/>
        </w:rPr>
        <w:t>La iniciativa normativa está incluida, de acuerdo con lo dispuesto en el artículo 2 del Real Decreto 286/2017, de 24 de marzo, en el Plan Anual Normativo</w:t>
      </w:r>
      <w:r w:rsidR="005F7706" w:rsidRPr="00ED133C">
        <w:rPr>
          <w:rFonts w:ascii="Arial" w:hAnsi="Arial" w:cs="Arial"/>
          <w:szCs w:val="28"/>
        </w:rPr>
        <w:t xml:space="preserve"> de la Administración General del Estado para el año </w:t>
      </w:r>
      <w:r w:rsidRPr="00ED133C">
        <w:rPr>
          <w:rFonts w:ascii="Arial" w:hAnsi="Arial" w:cs="Arial"/>
          <w:szCs w:val="28"/>
        </w:rPr>
        <w:t>202</w:t>
      </w:r>
      <w:r w:rsidR="00876984">
        <w:rPr>
          <w:rFonts w:ascii="Arial" w:hAnsi="Arial" w:cs="Arial"/>
          <w:szCs w:val="28"/>
        </w:rPr>
        <w:t>3</w:t>
      </w:r>
      <w:r w:rsidR="005F7706" w:rsidRPr="00ED133C">
        <w:rPr>
          <w:rFonts w:ascii="Arial" w:hAnsi="Arial" w:cs="Arial"/>
          <w:szCs w:val="28"/>
        </w:rPr>
        <w:t>,</w:t>
      </w:r>
      <w:r w:rsidRPr="00ED133C">
        <w:rPr>
          <w:rFonts w:ascii="Arial" w:hAnsi="Arial" w:cs="Arial"/>
          <w:szCs w:val="28"/>
        </w:rPr>
        <w:t xml:space="preserve"> </w:t>
      </w:r>
      <w:r w:rsidR="00A6631F" w:rsidRPr="00ED133C">
        <w:rPr>
          <w:rFonts w:ascii="Arial" w:hAnsi="Arial" w:cs="Arial"/>
          <w:szCs w:val="28"/>
        </w:rPr>
        <w:t>de conformidad con lo previsto en el artículo 25 de la Ley 50/1997, de 27 de noviembre</w:t>
      </w:r>
      <w:r w:rsidR="00115B6C" w:rsidRPr="00ED133C">
        <w:rPr>
          <w:rFonts w:ascii="Arial" w:hAnsi="Arial" w:cs="Arial"/>
          <w:szCs w:val="28"/>
        </w:rPr>
        <w:t>.</w:t>
      </w:r>
      <w:r w:rsidR="005F7706" w:rsidRPr="00ED133C">
        <w:rPr>
          <w:rFonts w:ascii="Arial" w:hAnsi="Arial" w:cs="Arial"/>
          <w:szCs w:val="28"/>
        </w:rPr>
        <w:t xml:space="preserve"> </w:t>
      </w:r>
    </w:p>
    <w:p w14:paraId="14902EC4" w14:textId="77777777" w:rsidR="00CF6791" w:rsidRPr="00ED133C" w:rsidRDefault="00CF6791" w:rsidP="00AC162C">
      <w:pPr>
        <w:spacing w:line="288" w:lineRule="auto"/>
        <w:rPr>
          <w:rFonts w:ascii="Arial" w:hAnsi="Arial" w:cs="Arial"/>
          <w:szCs w:val="28"/>
        </w:rPr>
      </w:pPr>
    </w:p>
    <w:p w14:paraId="7A5EC6CD" w14:textId="77777777" w:rsidR="009547A1" w:rsidRPr="00ED133C" w:rsidRDefault="00D05115" w:rsidP="001D577E">
      <w:pPr>
        <w:spacing w:line="288" w:lineRule="auto"/>
        <w:rPr>
          <w:rFonts w:ascii="Arial" w:hAnsi="Arial" w:cs="Arial"/>
          <w:b/>
          <w:szCs w:val="28"/>
          <w:u w:val="single"/>
        </w:rPr>
      </w:pPr>
      <w:r w:rsidRPr="00ED133C">
        <w:rPr>
          <w:rFonts w:ascii="Arial" w:hAnsi="Arial" w:cs="Arial"/>
          <w:b/>
          <w:szCs w:val="28"/>
        </w:rPr>
        <w:t>II</w:t>
      </w:r>
      <w:r w:rsidR="0057201E" w:rsidRPr="00ED133C">
        <w:rPr>
          <w:rFonts w:ascii="Arial" w:hAnsi="Arial" w:cs="Arial"/>
          <w:b/>
          <w:szCs w:val="28"/>
        </w:rPr>
        <w:t xml:space="preserve">. </w:t>
      </w:r>
      <w:r w:rsidR="00B873F0" w:rsidRPr="00ED133C">
        <w:rPr>
          <w:rFonts w:ascii="Arial" w:hAnsi="Arial" w:cs="Arial"/>
          <w:b/>
          <w:szCs w:val="28"/>
          <w:u w:val="single"/>
        </w:rPr>
        <w:t>CONTENIDO</w:t>
      </w:r>
    </w:p>
    <w:p w14:paraId="20FDB01E" w14:textId="31DA4BE7" w:rsidR="009F156F" w:rsidRPr="00ED133C" w:rsidRDefault="00D05115" w:rsidP="001D577E">
      <w:pPr>
        <w:spacing w:line="288" w:lineRule="auto"/>
        <w:rPr>
          <w:rFonts w:ascii="Arial" w:hAnsi="Arial" w:cs="Arial"/>
          <w:szCs w:val="28"/>
        </w:rPr>
      </w:pPr>
      <w:r w:rsidRPr="00ED133C">
        <w:rPr>
          <w:rFonts w:ascii="Arial" w:hAnsi="Arial" w:cs="Arial"/>
          <w:szCs w:val="28"/>
        </w:rPr>
        <w:t xml:space="preserve">La estructura y contenido del </w:t>
      </w:r>
      <w:r w:rsidR="00CD2D7B" w:rsidRPr="00ED133C">
        <w:rPr>
          <w:rFonts w:ascii="Arial" w:hAnsi="Arial" w:cs="Arial"/>
          <w:szCs w:val="28"/>
        </w:rPr>
        <w:t>p</w:t>
      </w:r>
      <w:r w:rsidRPr="00ED133C">
        <w:rPr>
          <w:rFonts w:ascii="Arial" w:hAnsi="Arial" w:cs="Arial"/>
          <w:szCs w:val="28"/>
        </w:rPr>
        <w:t xml:space="preserve">royecto que fija el SMI para el año </w:t>
      </w:r>
      <w:r w:rsidR="00265837" w:rsidRPr="00ED133C">
        <w:rPr>
          <w:rFonts w:ascii="Arial" w:hAnsi="Arial" w:cs="Arial"/>
          <w:szCs w:val="28"/>
        </w:rPr>
        <w:t>20</w:t>
      </w:r>
      <w:r w:rsidR="0052437B" w:rsidRPr="00ED133C">
        <w:rPr>
          <w:rFonts w:ascii="Arial" w:hAnsi="Arial" w:cs="Arial"/>
          <w:szCs w:val="28"/>
        </w:rPr>
        <w:t>2</w:t>
      </w:r>
      <w:r w:rsidR="00876984">
        <w:rPr>
          <w:rFonts w:ascii="Arial" w:hAnsi="Arial" w:cs="Arial"/>
          <w:szCs w:val="28"/>
        </w:rPr>
        <w:t>4</w:t>
      </w:r>
      <w:r w:rsidRPr="00ED133C">
        <w:rPr>
          <w:rFonts w:ascii="Arial" w:hAnsi="Arial" w:cs="Arial"/>
          <w:szCs w:val="28"/>
        </w:rPr>
        <w:t xml:space="preserve"> es la habitual</w:t>
      </w:r>
      <w:r w:rsidR="00CD2D7B" w:rsidRPr="00ED133C">
        <w:rPr>
          <w:rFonts w:ascii="Arial" w:hAnsi="Arial" w:cs="Arial"/>
          <w:szCs w:val="28"/>
        </w:rPr>
        <w:t xml:space="preserve"> en este tipo de reales decretos</w:t>
      </w:r>
      <w:r w:rsidR="0052437B" w:rsidRPr="00ED133C">
        <w:rPr>
          <w:rFonts w:ascii="Arial" w:hAnsi="Arial" w:cs="Arial"/>
          <w:szCs w:val="28"/>
        </w:rPr>
        <w:t xml:space="preserve">. </w:t>
      </w:r>
      <w:r w:rsidR="009F156F" w:rsidRPr="00ED133C">
        <w:rPr>
          <w:rFonts w:ascii="Arial" w:hAnsi="Arial" w:cs="Arial"/>
          <w:szCs w:val="28"/>
        </w:rPr>
        <w:t>El</w:t>
      </w:r>
      <w:r w:rsidRPr="00ED133C">
        <w:rPr>
          <w:rFonts w:ascii="Arial" w:hAnsi="Arial" w:cs="Arial"/>
          <w:szCs w:val="28"/>
        </w:rPr>
        <w:t xml:space="preserve"> te</w:t>
      </w:r>
      <w:r w:rsidR="0007284D" w:rsidRPr="00ED133C">
        <w:rPr>
          <w:rFonts w:ascii="Arial" w:hAnsi="Arial" w:cs="Arial"/>
          <w:szCs w:val="28"/>
        </w:rPr>
        <w:t>xto consta de cuatro artículos</w:t>
      </w:r>
      <w:r w:rsidR="00BA2C01" w:rsidRPr="00ED133C">
        <w:rPr>
          <w:rFonts w:ascii="Arial" w:hAnsi="Arial" w:cs="Arial"/>
          <w:szCs w:val="28"/>
        </w:rPr>
        <w:t>, un disposición transitoria única</w:t>
      </w:r>
      <w:r w:rsidR="00307D93" w:rsidRPr="00ED133C">
        <w:rPr>
          <w:rFonts w:ascii="Arial" w:hAnsi="Arial" w:cs="Arial"/>
          <w:szCs w:val="28"/>
        </w:rPr>
        <w:t xml:space="preserve"> </w:t>
      </w:r>
      <w:r w:rsidR="009F156F" w:rsidRPr="00ED133C">
        <w:rPr>
          <w:rFonts w:ascii="Arial" w:hAnsi="Arial" w:cs="Arial"/>
          <w:szCs w:val="28"/>
        </w:rPr>
        <w:t>y</w:t>
      </w:r>
      <w:r w:rsidRPr="00ED133C">
        <w:rPr>
          <w:rFonts w:ascii="Arial" w:hAnsi="Arial" w:cs="Arial"/>
          <w:szCs w:val="28"/>
        </w:rPr>
        <w:t xml:space="preserve"> </w:t>
      </w:r>
      <w:r w:rsidR="00235EB5" w:rsidRPr="00ED133C">
        <w:rPr>
          <w:rFonts w:ascii="Arial" w:hAnsi="Arial" w:cs="Arial"/>
          <w:szCs w:val="28"/>
        </w:rPr>
        <w:t xml:space="preserve">tres </w:t>
      </w:r>
      <w:r w:rsidRPr="00ED133C">
        <w:rPr>
          <w:rFonts w:ascii="Arial" w:hAnsi="Arial" w:cs="Arial"/>
          <w:szCs w:val="28"/>
        </w:rPr>
        <w:t>disposiciones finales</w:t>
      </w:r>
      <w:r w:rsidR="009F156F" w:rsidRPr="00ED133C">
        <w:rPr>
          <w:rFonts w:ascii="Arial" w:hAnsi="Arial" w:cs="Arial"/>
          <w:szCs w:val="28"/>
        </w:rPr>
        <w:t>.</w:t>
      </w:r>
    </w:p>
    <w:p w14:paraId="3F5A3C4D" w14:textId="7B9F1111" w:rsidR="00D05115" w:rsidRPr="00ED133C" w:rsidRDefault="00D05115" w:rsidP="001D577E">
      <w:pPr>
        <w:spacing w:line="288" w:lineRule="auto"/>
        <w:rPr>
          <w:rFonts w:ascii="Arial" w:hAnsi="Arial" w:cs="Arial"/>
          <w:szCs w:val="28"/>
        </w:rPr>
      </w:pPr>
      <w:r w:rsidRPr="00ED133C">
        <w:rPr>
          <w:rFonts w:ascii="Arial" w:hAnsi="Arial" w:cs="Arial"/>
          <w:szCs w:val="28"/>
        </w:rPr>
        <w:lastRenderedPageBreak/>
        <w:t xml:space="preserve">El artículo 1 determina la cuantía del </w:t>
      </w:r>
      <w:r w:rsidR="00715200" w:rsidRPr="00ED133C">
        <w:rPr>
          <w:rFonts w:ascii="Arial" w:hAnsi="Arial" w:cs="Arial"/>
          <w:szCs w:val="28"/>
        </w:rPr>
        <w:t>SMI</w:t>
      </w:r>
      <w:r w:rsidRPr="00ED133C">
        <w:rPr>
          <w:rFonts w:ascii="Arial" w:hAnsi="Arial" w:cs="Arial"/>
          <w:szCs w:val="28"/>
        </w:rPr>
        <w:t xml:space="preserve"> para cualesquiera actividades en la agricultura, en la industria y en los servicios, sin distinción de sexo ni edad de los trabajadores, quedando fijado en</w:t>
      </w:r>
      <w:r w:rsidR="00CD5C64" w:rsidRPr="00ED133C">
        <w:rPr>
          <w:rFonts w:ascii="Arial" w:hAnsi="Arial" w:cs="Arial"/>
          <w:szCs w:val="28"/>
        </w:rPr>
        <w:t xml:space="preserve"> </w:t>
      </w:r>
      <w:r w:rsidR="000040A0">
        <w:rPr>
          <w:rFonts w:ascii="Arial" w:hAnsi="Arial" w:cs="Arial"/>
          <w:szCs w:val="28"/>
        </w:rPr>
        <w:t xml:space="preserve">37,8 </w:t>
      </w:r>
      <w:r w:rsidR="00DC0BCF" w:rsidRPr="000040A0">
        <w:rPr>
          <w:rFonts w:ascii="Arial" w:hAnsi="Arial" w:cs="Arial"/>
          <w:szCs w:val="28"/>
        </w:rPr>
        <w:t>euros</w:t>
      </w:r>
      <w:r w:rsidR="00CD5C64" w:rsidRPr="000040A0">
        <w:rPr>
          <w:rFonts w:ascii="Arial" w:hAnsi="Arial" w:cs="Arial"/>
          <w:szCs w:val="28"/>
        </w:rPr>
        <w:t xml:space="preserve">/día o </w:t>
      </w:r>
      <w:r w:rsidR="000040A0">
        <w:rPr>
          <w:rFonts w:ascii="Arial" w:hAnsi="Arial" w:cs="Arial"/>
          <w:szCs w:val="28"/>
        </w:rPr>
        <w:t xml:space="preserve">1.134 </w:t>
      </w:r>
      <w:r w:rsidR="005E4B8A" w:rsidRPr="000040A0">
        <w:rPr>
          <w:rFonts w:ascii="Arial" w:hAnsi="Arial" w:cs="Arial"/>
          <w:szCs w:val="28"/>
        </w:rPr>
        <w:t>euros/mes</w:t>
      </w:r>
      <w:r w:rsidR="00033FBD" w:rsidRPr="00ED133C">
        <w:rPr>
          <w:rFonts w:ascii="Arial" w:hAnsi="Arial" w:cs="Arial"/>
          <w:color w:val="FF0000"/>
          <w:szCs w:val="28"/>
        </w:rPr>
        <w:t xml:space="preserve"> </w:t>
      </w:r>
      <w:r w:rsidRPr="00ED133C">
        <w:rPr>
          <w:rFonts w:ascii="Arial" w:hAnsi="Arial" w:cs="Arial"/>
          <w:szCs w:val="28"/>
        </w:rPr>
        <w:t>según que el salario esté fijado por días o por meses.</w:t>
      </w:r>
    </w:p>
    <w:p w14:paraId="03C821CE" w14:textId="77777777" w:rsidR="00F868D9" w:rsidRPr="00ED133C" w:rsidRDefault="00F868D9" w:rsidP="001D577E">
      <w:pPr>
        <w:spacing w:line="288" w:lineRule="auto"/>
        <w:rPr>
          <w:rFonts w:ascii="Arial" w:hAnsi="Arial" w:cs="Arial"/>
          <w:szCs w:val="28"/>
        </w:rPr>
      </w:pPr>
      <w:r w:rsidRPr="00ED133C">
        <w:rPr>
          <w:rFonts w:ascii="Arial" w:hAnsi="Arial" w:cs="Arial"/>
          <w:szCs w:val="28"/>
        </w:rPr>
        <w:t xml:space="preserve">Se establece que dentro del SMI únicamente computan las retribuciones en dinero, sin que pueda en ningún caso computarse a tal efecto el salario en especie, de acuerdo con </w:t>
      </w:r>
      <w:r w:rsidR="0052437B" w:rsidRPr="00ED133C">
        <w:rPr>
          <w:rFonts w:ascii="Arial" w:hAnsi="Arial" w:cs="Arial"/>
          <w:szCs w:val="28"/>
        </w:rPr>
        <w:t>el</w:t>
      </w:r>
      <w:r w:rsidR="00D10E04" w:rsidRPr="00ED133C">
        <w:rPr>
          <w:rFonts w:ascii="Arial" w:hAnsi="Arial" w:cs="Arial"/>
          <w:szCs w:val="28"/>
        </w:rPr>
        <w:t xml:space="preserve"> </w:t>
      </w:r>
      <w:r w:rsidRPr="00ED133C">
        <w:rPr>
          <w:rFonts w:ascii="Arial" w:hAnsi="Arial" w:cs="Arial"/>
          <w:szCs w:val="28"/>
        </w:rPr>
        <w:t xml:space="preserve">artículo 26 del Estatuto de los </w:t>
      </w:r>
      <w:r w:rsidR="00C34BF8" w:rsidRPr="00ED133C">
        <w:rPr>
          <w:rFonts w:ascii="Arial" w:hAnsi="Arial" w:cs="Arial"/>
          <w:szCs w:val="28"/>
        </w:rPr>
        <w:t>Trabajadores</w:t>
      </w:r>
      <w:r w:rsidRPr="00ED133C">
        <w:rPr>
          <w:rFonts w:ascii="Arial" w:hAnsi="Arial" w:cs="Arial"/>
          <w:szCs w:val="28"/>
        </w:rPr>
        <w:t>.</w:t>
      </w:r>
    </w:p>
    <w:p w14:paraId="2FC5886B" w14:textId="195A934F" w:rsidR="003D35EA" w:rsidRPr="00ED133C" w:rsidRDefault="00D05115" w:rsidP="001D577E">
      <w:pPr>
        <w:spacing w:line="288" w:lineRule="auto"/>
        <w:rPr>
          <w:rFonts w:ascii="Arial" w:hAnsi="Arial" w:cs="Arial"/>
          <w:szCs w:val="28"/>
        </w:rPr>
      </w:pPr>
      <w:r w:rsidRPr="00ED133C">
        <w:rPr>
          <w:rFonts w:ascii="Arial" w:hAnsi="Arial" w:cs="Arial"/>
          <w:szCs w:val="28"/>
        </w:rPr>
        <w:t xml:space="preserve">Los artículos 2 y 3 establecen las disposiciones habituales en las normas anuales de fijación del </w:t>
      </w:r>
      <w:r w:rsidR="00715200" w:rsidRPr="00ED133C">
        <w:rPr>
          <w:rFonts w:ascii="Arial" w:hAnsi="Arial" w:cs="Arial"/>
          <w:szCs w:val="28"/>
        </w:rPr>
        <w:t>SMI</w:t>
      </w:r>
      <w:r w:rsidRPr="00ED133C">
        <w:rPr>
          <w:rFonts w:ascii="Arial" w:hAnsi="Arial" w:cs="Arial"/>
          <w:szCs w:val="28"/>
        </w:rPr>
        <w:t xml:space="preserve"> sobre complementos salariales y sobre compensación y absorción</w:t>
      </w:r>
      <w:r w:rsidR="003D35EA" w:rsidRPr="00ED133C">
        <w:rPr>
          <w:rFonts w:ascii="Arial" w:hAnsi="Arial" w:cs="Arial"/>
          <w:szCs w:val="28"/>
        </w:rPr>
        <w:t>, recogiendo que en ningún caso podrá considerarse una cuantía anual inferior a</w:t>
      </w:r>
      <w:r w:rsidR="00DA1529">
        <w:rPr>
          <w:rFonts w:ascii="Arial" w:hAnsi="Arial" w:cs="Arial"/>
          <w:szCs w:val="28"/>
        </w:rPr>
        <w:t xml:space="preserve"> </w:t>
      </w:r>
      <w:r w:rsidR="000040A0">
        <w:rPr>
          <w:rFonts w:ascii="Arial" w:hAnsi="Arial" w:cs="Arial"/>
          <w:szCs w:val="28"/>
        </w:rPr>
        <w:t>15.876</w:t>
      </w:r>
      <w:r w:rsidR="00CD5C64" w:rsidRPr="000040A0">
        <w:rPr>
          <w:rFonts w:ascii="Arial" w:hAnsi="Arial" w:cs="Arial"/>
          <w:szCs w:val="28"/>
        </w:rPr>
        <w:t xml:space="preserve"> </w:t>
      </w:r>
      <w:r w:rsidR="00063B83" w:rsidRPr="000040A0">
        <w:rPr>
          <w:rFonts w:ascii="Arial" w:hAnsi="Arial" w:cs="Arial"/>
          <w:szCs w:val="28"/>
        </w:rPr>
        <w:t>euros</w:t>
      </w:r>
      <w:r w:rsidR="00396A7E" w:rsidRPr="000040A0">
        <w:rPr>
          <w:rFonts w:ascii="Arial" w:hAnsi="Arial" w:cs="Arial"/>
          <w:szCs w:val="28"/>
        </w:rPr>
        <w:t>.</w:t>
      </w:r>
    </w:p>
    <w:p w14:paraId="480F4DA2" w14:textId="5633D44E" w:rsidR="003A0118" w:rsidRPr="00ED133C" w:rsidRDefault="003A0118" w:rsidP="001D577E">
      <w:pPr>
        <w:spacing w:line="288" w:lineRule="auto"/>
        <w:rPr>
          <w:rFonts w:ascii="Arial" w:hAnsi="Arial" w:cs="Arial"/>
          <w:szCs w:val="28"/>
        </w:rPr>
      </w:pPr>
      <w:r w:rsidRPr="00ED133C">
        <w:rPr>
          <w:rFonts w:ascii="Arial" w:hAnsi="Arial" w:cs="Arial"/>
          <w:szCs w:val="28"/>
        </w:rPr>
        <w:t xml:space="preserve">El artículo 4 regula el salario mínimo de los trabajadores eventuales y temporeros cuyos servicios a una misma empresa no excedan de ciento veinte días, estableciendo que la cuantía del salario no pueda resultar inferior </w:t>
      </w:r>
      <w:r w:rsidRPr="000040A0">
        <w:rPr>
          <w:rFonts w:ascii="Arial" w:hAnsi="Arial" w:cs="Arial"/>
          <w:szCs w:val="28"/>
        </w:rPr>
        <w:t>a</w:t>
      </w:r>
      <w:r w:rsidR="00063B83" w:rsidRPr="000040A0">
        <w:rPr>
          <w:rFonts w:ascii="Arial" w:hAnsi="Arial" w:cs="Arial"/>
          <w:szCs w:val="28"/>
        </w:rPr>
        <w:t xml:space="preserve"> </w:t>
      </w:r>
      <w:r w:rsidR="000040A0">
        <w:rPr>
          <w:rFonts w:ascii="Arial" w:hAnsi="Arial" w:cs="Arial"/>
          <w:szCs w:val="28"/>
        </w:rPr>
        <w:t>53,7</w:t>
      </w:r>
      <w:r w:rsidR="00352F2F">
        <w:rPr>
          <w:rFonts w:ascii="Arial" w:hAnsi="Arial" w:cs="Arial"/>
          <w:szCs w:val="28"/>
        </w:rPr>
        <w:t>1</w:t>
      </w:r>
      <w:r w:rsidR="000040A0">
        <w:rPr>
          <w:rFonts w:ascii="Arial" w:hAnsi="Arial" w:cs="Arial"/>
          <w:szCs w:val="28"/>
        </w:rPr>
        <w:t xml:space="preserve"> </w:t>
      </w:r>
      <w:r w:rsidR="00CD5C64" w:rsidRPr="000040A0">
        <w:rPr>
          <w:rFonts w:ascii="Arial" w:hAnsi="Arial" w:cs="Arial"/>
          <w:szCs w:val="28"/>
        </w:rPr>
        <w:t>euros</w:t>
      </w:r>
      <w:r w:rsidR="00CD5C64" w:rsidRPr="00ED133C">
        <w:rPr>
          <w:rFonts w:ascii="Arial" w:hAnsi="Arial" w:cs="Arial"/>
          <w:szCs w:val="28"/>
        </w:rPr>
        <w:t xml:space="preserve"> </w:t>
      </w:r>
      <w:r w:rsidRPr="00ED133C">
        <w:rPr>
          <w:rFonts w:ascii="Arial" w:hAnsi="Arial" w:cs="Arial"/>
          <w:szCs w:val="28"/>
        </w:rPr>
        <w:t xml:space="preserve">por jornada legal en la actividad. </w:t>
      </w:r>
    </w:p>
    <w:p w14:paraId="0E2214C0" w14:textId="6862B918" w:rsidR="007A5E68" w:rsidRPr="00ED133C" w:rsidRDefault="007A5E68" w:rsidP="001D577E">
      <w:pPr>
        <w:spacing w:line="288" w:lineRule="auto"/>
        <w:rPr>
          <w:rFonts w:ascii="Arial" w:hAnsi="Arial" w:cs="Arial"/>
          <w:szCs w:val="28"/>
        </w:rPr>
      </w:pPr>
      <w:r w:rsidRPr="00ED133C">
        <w:rPr>
          <w:rFonts w:ascii="Arial" w:hAnsi="Arial" w:cs="Arial"/>
          <w:szCs w:val="28"/>
        </w:rPr>
        <w:t>Se establec</w:t>
      </w:r>
      <w:r w:rsidR="00D60BA1" w:rsidRPr="00ED133C">
        <w:rPr>
          <w:rFonts w:ascii="Arial" w:hAnsi="Arial" w:cs="Arial"/>
          <w:szCs w:val="28"/>
        </w:rPr>
        <w:t>e</w:t>
      </w:r>
      <w:r w:rsidR="005F7706" w:rsidRPr="00ED133C">
        <w:rPr>
          <w:rFonts w:ascii="Arial" w:hAnsi="Arial" w:cs="Arial"/>
          <w:szCs w:val="28"/>
        </w:rPr>
        <w:t>,</w:t>
      </w:r>
      <w:r w:rsidR="00D60BA1" w:rsidRPr="00ED133C">
        <w:rPr>
          <w:rFonts w:ascii="Arial" w:hAnsi="Arial" w:cs="Arial"/>
          <w:szCs w:val="28"/>
        </w:rPr>
        <w:t xml:space="preserve"> asimismo</w:t>
      </w:r>
      <w:r w:rsidR="005F7706" w:rsidRPr="00ED133C">
        <w:rPr>
          <w:rFonts w:ascii="Arial" w:hAnsi="Arial" w:cs="Arial"/>
          <w:szCs w:val="28"/>
        </w:rPr>
        <w:t>,</w:t>
      </w:r>
      <w:r w:rsidR="00D60BA1" w:rsidRPr="00ED133C">
        <w:rPr>
          <w:rFonts w:ascii="Arial" w:hAnsi="Arial" w:cs="Arial"/>
          <w:szCs w:val="28"/>
        </w:rPr>
        <w:t xml:space="preserve"> en este artículo el salario</w:t>
      </w:r>
      <w:r w:rsidR="00B841CC" w:rsidRPr="00ED133C">
        <w:rPr>
          <w:rFonts w:ascii="Arial" w:hAnsi="Arial" w:cs="Arial"/>
          <w:szCs w:val="28"/>
        </w:rPr>
        <w:t xml:space="preserve"> mínimo de</w:t>
      </w:r>
      <w:r w:rsidR="00D60BA1" w:rsidRPr="00ED133C">
        <w:rPr>
          <w:rFonts w:ascii="Arial" w:hAnsi="Arial" w:cs="Arial"/>
          <w:szCs w:val="28"/>
        </w:rPr>
        <w:t xml:space="preserve"> empleados de hogar que trabajen por horas, en régimen externo que se fija en</w:t>
      </w:r>
      <w:r w:rsidR="00DA1529">
        <w:rPr>
          <w:rFonts w:ascii="Arial" w:hAnsi="Arial" w:cs="Arial"/>
          <w:szCs w:val="28"/>
        </w:rPr>
        <w:t xml:space="preserve"> </w:t>
      </w:r>
      <w:r w:rsidR="000040A0">
        <w:rPr>
          <w:rFonts w:ascii="Arial" w:hAnsi="Arial" w:cs="Arial"/>
          <w:szCs w:val="28"/>
        </w:rPr>
        <w:t xml:space="preserve">8,87 </w:t>
      </w:r>
      <w:r w:rsidR="00CD5C64" w:rsidRPr="000040A0">
        <w:rPr>
          <w:rFonts w:ascii="Arial" w:hAnsi="Arial" w:cs="Arial"/>
          <w:szCs w:val="28"/>
        </w:rPr>
        <w:t>euros</w:t>
      </w:r>
      <w:r w:rsidR="00CD5C64" w:rsidRPr="00ED133C">
        <w:rPr>
          <w:rFonts w:ascii="Arial" w:hAnsi="Arial" w:cs="Arial"/>
          <w:szCs w:val="28"/>
        </w:rPr>
        <w:t xml:space="preserve"> </w:t>
      </w:r>
      <w:r w:rsidR="003A0118" w:rsidRPr="00ED133C">
        <w:rPr>
          <w:rFonts w:ascii="Arial" w:hAnsi="Arial" w:cs="Arial"/>
          <w:szCs w:val="28"/>
        </w:rPr>
        <w:t>p</w:t>
      </w:r>
      <w:r w:rsidR="00D60BA1" w:rsidRPr="00ED133C">
        <w:rPr>
          <w:rFonts w:ascii="Arial" w:hAnsi="Arial" w:cs="Arial"/>
          <w:szCs w:val="28"/>
        </w:rPr>
        <w:t>or hora trabajada, resultado de incluir todos los conceptos retributivos, gratificaciones extraordinarias, descansos y vacaciones.</w:t>
      </w:r>
    </w:p>
    <w:p w14:paraId="4C82B582" w14:textId="77777777" w:rsidR="0075300C" w:rsidRPr="00ED133C" w:rsidRDefault="00F868D9" w:rsidP="001D577E">
      <w:pPr>
        <w:spacing w:line="288" w:lineRule="auto"/>
        <w:rPr>
          <w:rFonts w:ascii="Arial" w:hAnsi="Arial" w:cs="Arial"/>
          <w:szCs w:val="28"/>
        </w:rPr>
      </w:pPr>
      <w:r w:rsidRPr="00ED133C">
        <w:rPr>
          <w:rFonts w:ascii="Arial" w:hAnsi="Arial" w:cs="Arial"/>
          <w:szCs w:val="28"/>
        </w:rPr>
        <w:t xml:space="preserve">Análogamente a lo indicado en el artículo 1, </w:t>
      </w:r>
      <w:r w:rsidR="007849AB" w:rsidRPr="00ED133C">
        <w:rPr>
          <w:rFonts w:ascii="Arial" w:hAnsi="Arial" w:cs="Arial"/>
          <w:szCs w:val="28"/>
        </w:rPr>
        <w:t xml:space="preserve">también </w:t>
      </w:r>
      <w:r w:rsidRPr="00ED133C">
        <w:rPr>
          <w:rFonts w:ascii="Arial" w:hAnsi="Arial" w:cs="Arial"/>
          <w:szCs w:val="28"/>
        </w:rPr>
        <w:t xml:space="preserve">se señala que en dichas cuantías únicamente puede computarse el salario en dinero, sin que el salario en especie que se pueda percibir pueda minorar la </w:t>
      </w:r>
      <w:r w:rsidR="00A02FD6" w:rsidRPr="00ED133C">
        <w:rPr>
          <w:rFonts w:ascii="Arial" w:hAnsi="Arial" w:cs="Arial"/>
          <w:szCs w:val="28"/>
        </w:rPr>
        <w:t xml:space="preserve">cuantía </w:t>
      </w:r>
      <w:r w:rsidR="00AF29A1" w:rsidRPr="00ED133C">
        <w:rPr>
          <w:rFonts w:ascii="Arial" w:hAnsi="Arial" w:cs="Arial"/>
          <w:szCs w:val="28"/>
        </w:rPr>
        <w:t xml:space="preserve">en dinero </w:t>
      </w:r>
      <w:r w:rsidR="00A02FD6" w:rsidRPr="00ED133C">
        <w:rPr>
          <w:rFonts w:ascii="Arial" w:hAnsi="Arial" w:cs="Arial"/>
          <w:szCs w:val="28"/>
        </w:rPr>
        <w:t>del SMI</w:t>
      </w:r>
      <w:r w:rsidRPr="00ED133C">
        <w:rPr>
          <w:rFonts w:ascii="Arial" w:hAnsi="Arial" w:cs="Arial"/>
          <w:szCs w:val="28"/>
        </w:rPr>
        <w:t>.</w:t>
      </w:r>
    </w:p>
    <w:p w14:paraId="4D7A1910" w14:textId="77777777" w:rsidR="005A0ACE" w:rsidRPr="00ED133C" w:rsidRDefault="005A0ACE" w:rsidP="005A0ACE">
      <w:pPr>
        <w:spacing w:line="288" w:lineRule="auto"/>
        <w:rPr>
          <w:rFonts w:ascii="Arial" w:hAnsi="Arial" w:cs="Arial"/>
          <w:szCs w:val="28"/>
        </w:rPr>
      </w:pPr>
      <w:r w:rsidRPr="00ED133C">
        <w:rPr>
          <w:rFonts w:ascii="Arial" w:hAnsi="Arial" w:cs="Arial"/>
          <w:szCs w:val="28"/>
        </w:rPr>
        <w:t>La disposición transitoria única dispone que las nuevas cuantías del SMI que se establecen no serán de aplicación a lo recogido en normas no estatales ni a los contratos y pactos de naturaleza privada, no laborales, que utilicen el salario mínimo interprofesional como referencia a cualquier efecto, de conformidad con la habilitación legal expresa contenida en el artículo 13 del Real Decreto-ley 28/2018, de 28 de diciembre, que autoriza al Gobierno a incluir dichas reglas de afectación respecto del supuesto concreto descrito.</w:t>
      </w:r>
    </w:p>
    <w:p w14:paraId="602056AC" w14:textId="1E9EA274" w:rsidR="005A0ACE" w:rsidRPr="00ED133C" w:rsidRDefault="005A0ACE" w:rsidP="005A0ACE">
      <w:pPr>
        <w:spacing w:line="288" w:lineRule="auto"/>
        <w:rPr>
          <w:rFonts w:ascii="Arial" w:hAnsi="Arial" w:cs="Arial"/>
          <w:szCs w:val="28"/>
        </w:rPr>
      </w:pPr>
      <w:r w:rsidRPr="00ED133C">
        <w:rPr>
          <w:rFonts w:ascii="Arial" w:hAnsi="Arial" w:cs="Arial"/>
          <w:szCs w:val="28"/>
        </w:rPr>
        <w:t>En tales supuestos y salvo disposición o acuerdo en contrario, la cuantía del SMI se entenderá referida durante 202</w:t>
      </w:r>
      <w:r w:rsidR="002C3850">
        <w:rPr>
          <w:rFonts w:ascii="Arial" w:hAnsi="Arial" w:cs="Arial"/>
          <w:szCs w:val="28"/>
        </w:rPr>
        <w:t>4</w:t>
      </w:r>
      <w:r w:rsidR="00063B83" w:rsidRPr="00ED133C">
        <w:rPr>
          <w:rFonts w:ascii="Arial" w:hAnsi="Arial" w:cs="Arial"/>
          <w:szCs w:val="28"/>
        </w:rPr>
        <w:t xml:space="preserve"> </w:t>
      </w:r>
      <w:r w:rsidRPr="00ED133C">
        <w:rPr>
          <w:rFonts w:ascii="Arial" w:hAnsi="Arial" w:cs="Arial"/>
          <w:szCs w:val="28"/>
        </w:rPr>
        <w:t>por razones de seguridad jurídica a la que estaba vigente a la entrada en vigor de este real decreto.</w:t>
      </w:r>
    </w:p>
    <w:p w14:paraId="53A9F8D9" w14:textId="175A259F" w:rsidR="005A0ACE" w:rsidRPr="00ED133C" w:rsidRDefault="005A0ACE" w:rsidP="001D577E">
      <w:pPr>
        <w:spacing w:line="288" w:lineRule="auto"/>
        <w:rPr>
          <w:rFonts w:ascii="Arial" w:hAnsi="Arial" w:cs="Arial"/>
          <w:szCs w:val="28"/>
        </w:rPr>
      </w:pPr>
      <w:r w:rsidRPr="00ED133C">
        <w:rPr>
          <w:rFonts w:ascii="Arial" w:hAnsi="Arial" w:cs="Arial"/>
          <w:szCs w:val="28"/>
        </w:rPr>
        <w:t xml:space="preserve">Lo establecido en dicha disposición transitoria se entiende sin perjuicio de que deban ser modificados los salarios establecidos en contratos o pactos de </w:t>
      </w:r>
      <w:r w:rsidRPr="00ED133C">
        <w:rPr>
          <w:rFonts w:ascii="Arial" w:hAnsi="Arial" w:cs="Arial"/>
          <w:szCs w:val="28"/>
        </w:rPr>
        <w:lastRenderedPageBreak/>
        <w:t>naturaleza privada inferiores en su conjunto y en cómputo anual a las cuantías del salario mínimo interprofesional que se establece para el 202</w:t>
      </w:r>
      <w:r w:rsidR="002C3850">
        <w:rPr>
          <w:rFonts w:ascii="Arial" w:hAnsi="Arial" w:cs="Arial"/>
          <w:szCs w:val="28"/>
        </w:rPr>
        <w:t>4</w:t>
      </w:r>
      <w:r w:rsidRPr="00ED133C">
        <w:rPr>
          <w:rFonts w:ascii="Arial" w:hAnsi="Arial" w:cs="Arial"/>
          <w:szCs w:val="28"/>
        </w:rPr>
        <w:t xml:space="preserve"> en este real decreto en la cuantía necesaria para asegurar la percepción de dichas cuantías, siendo de aplicación las reglas sobre compensación y absorción que se establecen en los reales decretos por los que anualmente se fija el salario mínimo.</w:t>
      </w:r>
    </w:p>
    <w:p w14:paraId="3ABC7A0B" w14:textId="77777777" w:rsidR="005A0ACE" w:rsidRPr="00ED133C" w:rsidRDefault="00D05115" w:rsidP="006C7E01">
      <w:pPr>
        <w:spacing w:line="288" w:lineRule="auto"/>
        <w:rPr>
          <w:rFonts w:ascii="Arial" w:hAnsi="Arial" w:cs="Arial"/>
          <w:szCs w:val="28"/>
        </w:rPr>
      </w:pPr>
      <w:r w:rsidRPr="00ED133C">
        <w:rPr>
          <w:rFonts w:ascii="Arial" w:hAnsi="Arial" w:cs="Arial"/>
          <w:szCs w:val="28"/>
        </w:rPr>
        <w:t>Por último</w:t>
      </w:r>
      <w:r w:rsidR="00A13727" w:rsidRPr="00ED133C">
        <w:rPr>
          <w:rFonts w:ascii="Arial" w:hAnsi="Arial" w:cs="Arial"/>
          <w:szCs w:val="28"/>
        </w:rPr>
        <w:t>, la disposición final primera</w:t>
      </w:r>
      <w:r w:rsidRPr="00ED133C">
        <w:rPr>
          <w:rFonts w:ascii="Arial" w:hAnsi="Arial" w:cs="Arial"/>
          <w:szCs w:val="28"/>
        </w:rPr>
        <w:t>,</w:t>
      </w:r>
      <w:r w:rsidR="00A13727" w:rsidRPr="00ED133C">
        <w:rPr>
          <w:rFonts w:ascii="Arial" w:hAnsi="Arial" w:cs="Arial"/>
          <w:szCs w:val="28"/>
        </w:rPr>
        <w:t xml:space="preserve"> se refiere al título competencial en virtud del cual se dicta, al amparo de lo dispuesto en el artículo 149.</w:t>
      </w:r>
      <w:r w:rsidR="000B7C81" w:rsidRPr="00ED133C">
        <w:rPr>
          <w:rFonts w:ascii="Arial" w:hAnsi="Arial" w:cs="Arial"/>
          <w:szCs w:val="28"/>
        </w:rPr>
        <w:t>1. 7ª</w:t>
      </w:r>
      <w:r w:rsidR="00A13727" w:rsidRPr="00ED133C">
        <w:rPr>
          <w:rFonts w:ascii="Arial" w:hAnsi="Arial" w:cs="Arial"/>
          <w:szCs w:val="28"/>
        </w:rPr>
        <w:t xml:space="preserve"> de la Constitución Española, que atribuye al Estado la competencia exclusiva en materia de legislación laboral, sin perjuicio de su ejecución por los órganos de las Comunidades Autónomas.</w:t>
      </w:r>
    </w:p>
    <w:p w14:paraId="6BA2D056" w14:textId="77777777" w:rsidR="00591EBC" w:rsidRPr="00ED133C" w:rsidRDefault="00591EBC" w:rsidP="006C7E01">
      <w:pPr>
        <w:spacing w:line="288" w:lineRule="auto"/>
        <w:rPr>
          <w:rFonts w:ascii="Arial" w:hAnsi="Arial" w:cs="Arial"/>
          <w:szCs w:val="28"/>
        </w:rPr>
      </w:pPr>
      <w:r w:rsidRPr="00ED133C">
        <w:rPr>
          <w:rFonts w:ascii="Arial" w:hAnsi="Arial" w:cs="Arial"/>
          <w:szCs w:val="28"/>
        </w:rPr>
        <w:t xml:space="preserve">La disposición final </w:t>
      </w:r>
      <w:r w:rsidR="007755BE" w:rsidRPr="00ED133C">
        <w:rPr>
          <w:rFonts w:ascii="Arial" w:hAnsi="Arial" w:cs="Arial"/>
          <w:szCs w:val="28"/>
        </w:rPr>
        <w:t>segunda</w:t>
      </w:r>
      <w:r w:rsidRPr="00ED133C">
        <w:rPr>
          <w:rFonts w:ascii="Arial" w:hAnsi="Arial" w:cs="Arial"/>
          <w:szCs w:val="28"/>
        </w:rPr>
        <w:t xml:space="preserve"> autoriza a la Ministra de Trabajo y Economía Social para dictar, en el ámbito de sus competencias, las disposiciones de carácter general que resulten necesarias para el desarrollo y ejecución del real decreto.</w:t>
      </w:r>
    </w:p>
    <w:p w14:paraId="601F5300" w14:textId="46CB0532" w:rsidR="001852C6" w:rsidRPr="00ED133C" w:rsidRDefault="007755BE" w:rsidP="006C7E01">
      <w:pPr>
        <w:spacing w:line="288" w:lineRule="auto"/>
        <w:rPr>
          <w:rFonts w:ascii="Arial" w:hAnsi="Arial" w:cs="Arial"/>
          <w:szCs w:val="28"/>
        </w:rPr>
      </w:pPr>
      <w:r w:rsidRPr="00ED133C">
        <w:rPr>
          <w:rFonts w:ascii="Arial" w:hAnsi="Arial" w:cs="Arial"/>
          <w:szCs w:val="28"/>
        </w:rPr>
        <w:t>La disposición final tercera se refiere a la entrada en vigor</w:t>
      </w:r>
      <w:r w:rsidR="00681D5E" w:rsidRPr="00ED133C">
        <w:rPr>
          <w:rFonts w:ascii="Arial" w:hAnsi="Arial" w:cs="Arial"/>
          <w:szCs w:val="28"/>
        </w:rPr>
        <w:t xml:space="preserve"> </w:t>
      </w:r>
      <w:r w:rsidR="00CD2D7B" w:rsidRPr="00ED133C">
        <w:rPr>
          <w:rFonts w:ascii="Arial" w:hAnsi="Arial" w:cs="Arial"/>
          <w:szCs w:val="28"/>
        </w:rPr>
        <w:t>—</w:t>
      </w:r>
      <w:r w:rsidR="005F7706" w:rsidRPr="00ED133C">
        <w:rPr>
          <w:rFonts w:ascii="Arial" w:hAnsi="Arial" w:cs="Arial"/>
          <w:szCs w:val="28"/>
        </w:rPr>
        <w:t>e</w:t>
      </w:r>
      <w:r w:rsidRPr="00ED133C">
        <w:rPr>
          <w:rFonts w:ascii="Arial" w:hAnsi="Arial" w:cs="Arial"/>
          <w:szCs w:val="28"/>
        </w:rPr>
        <w:t xml:space="preserve">l día siguiente </w:t>
      </w:r>
      <w:r w:rsidR="005F7706" w:rsidRPr="00ED133C">
        <w:rPr>
          <w:rFonts w:ascii="Arial" w:hAnsi="Arial" w:cs="Arial"/>
          <w:szCs w:val="28"/>
        </w:rPr>
        <w:t xml:space="preserve">al </w:t>
      </w:r>
      <w:r w:rsidRPr="00ED133C">
        <w:rPr>
          <w:rFonts w:ascii="Arial" w:hAnsi="Arial" w:cs="Arial"/>
          <w:szCs w:val="28"/>
        </w:rPr>
        <w:t>de su publicación en el BOE</w:t>
      </w:r>
      <w:r w:rsidR="00CD2D7B" w:rsidRPr="00ED133C">
        <w:rPr>
          <w:rFonts w:ascii="Arial" w:hAnsi="Arial" w:cs="Arial"/>
          <w:szCs w:val="28"/>
        </w:rPr>
        <w:t>—</w:t>
      </w:r>
      <w:r w:rsidRPr="00ED133C">
        <w:rPr>
          <w:rFonts w:ascii="Arial" w:hAnsi="Arial" w:cs="Arial"/>
          <w:szCs w:val="28"/>
        </w:rPr>
        <w:t xml:space="preserve"> y al </w:t>
      </w:r>
      <w:r w:rsidR="00396A7E" w:rsidRPr="00ED133C">
        <w:rPr>
          <w:rFonts w:ascii="Arial" w:hAnsi="Arial" w:cs="Arial"/>
          <w:szCs w:val="28"/>
        </w:rPr>
        <w:t>periodo</w:t>
      </w:r>
      <w:r w:rsidRPr="00ED133C">
        <w:rPr>
          <w:rFonts w:ascii="Arial" w:hAnsi="Arial" w:cs="Arial"/>
          <w:szCs w:val="28"/>
        </w:rPr>
        <w:t xml:space="preserve"> de vigencia, surtiendo efectos durante el período comprendido entre el 1 de </w:t>
      </w:r>
      <w:r w:rsidR="00063B83" w:rsidRPr="00ED133C">
        <w:rPr>
          <w:rFonts w:ascii="Arial" w:hAnsi="Arial" w:cs="Arial"/>
          <w:szCs w:val="28"/>
        </w:rPr>
        <w:t xml:space="preserve">enero </w:t>
      </w:r>
      <w:r w:rsidRPr="00ED133C">
        <w:rPr>
          <w:rFonts w:ascii="Arial" w:hAnsi="Arial" w:cs="Arial"/>
          <w:szCs w:val="28"/>
        </w:rPr>
        <w:t>y el 31 de diciembre de 20</w:t>
      </w:r>
      <w:r w:rsidR="006D7293" w:rsidRPr="00ED133C">
        <w:rPr>
          <w:rFonts w:ascii="Arial" w:hAnsi="Arial" w:cs="Arial"/>
          <w:szCs w:val="28"/>
        </w:rPr>
        <w:t>2</w:t>
      </w:r>
      <w:r w:rsidR="002C3850">
        <w:rPr>
          <w:rFonts w:ascii="Arial" w:hAnsi="Arial" w:cs="Arial"/>
          <w:szCs w:val="28"/>
        </w:rPr>
        <w:t>4</w:t>
      </w:r>
      <w:r w:rsidRPr="00ED133C">
        <w:rPr>
          <w:rFonts w:ascii="Arial" w:hAnsi="Arial" w:cs="Arial"/>
          <w:szCs w:val="28"/>
        </w:rPr>
        <w:t xml:space="preserve">. </w:t>
      </w:r>
    </w:p>
    <w:p w14:paraId="2CC0063C" w14:textId="1136E69B" w:rsidR="001B08E5" w:rsidRPr="00ED133C" w:rsidRDefault="007755BE" w:rsidP="006C7E01">
      <w:pPr>
        <w:spacing w:line="288" w:lineRule="auto"/>
        <w:rPr>
          <w:rFonts w:ascii="Arial" w:hAnsi="Arial" w:cs="Arial"/>
          <w:b/>
          <w:szCs w:val="28"/>
        </w:rPr>
      </w:pPr>
      <w:r w:rsidRPr="00ED133C">
        <w:rPr>
          <w:rFonts w:ascii="Arial" w:hAnsi="Arial" w:cs="Arial"/>
          <w:szCs w:val="28"/>
        </w:rPr>
        <w:t xml:space="preserve">Lo anterior resulta del propio artículo 27.1 </w:t>
      </w:r>
      <w:r w:rsidR="00135C83" w:rsidRPr="00ED133C">
        <w:rPr>
          <w:rFonts w:ascii="Arial" w:hAnsi="Arial" w:cs="Arial"/>
          <w:szCs w:val="28"/>
        </w:rPr>
        <w:t>del Estatuto de los Trabajadores</w:t>
      </w:r>
      <w:r w:rsidRPr="00ED133C">
        <w:rPr>
          <w:rFonts w:ascii="Arial" w:hAnsi="Arial" w:cs="Arial"/>
          <w:szCs w:val="28"/>
        </w:rPr>
        <w:t>, que ordena al Gobierno la revisión del SMI tomando en consideración los factores descritos en el mismo</w:t>
      </w:r>
      <w:r w:rsidR="002C3850">
        <w:rPr>
          <w:rFonts w:ascii="Arial" w:hAnsi="Arial" w:cs="Arial"/>
          <w:szCs w:val="28"/>
        </w:rPr>
        <w:t>.</w:t>
      </w:r>
    </w:p>
    <w:p w14:paraId="5DBC0077" w14:textId="77777777" w:rsidR="00462D7F" w:rsidRPr="00ED133C" w:rsidRDefault="00462D7F" w:rsidP="006C7E01">
      <w:pPr>
        <w:spacing w:line="288" w:lineRule="auto"/>
        <w:rPr>
          <w:rFonts w:ascii="Arial" w:hAnsi="Arial" w:cs="Arial"/>
          <w:b/>
          <w:szCs w:val="28"/>
        </w:rPr>
      </w:pPr>
    </w:p>
    <w:p w14:paraId="106AB8D0" w14:textId="77777777" w:rsidR="00235EB5" w:rsidRPr="00ED133C" w:rsidRDefault="00235EB5" w:rsidP="006C7E01">
      <w:pPr>
        <w:spacing w:line="288" w:lineRule="auto"/>
        <w:rPr>
          <w:rFonts w:ascii="Arial" w:hAnsi="Arial" w:cs="Arial"/>
          <w:b/>
          <w:szCs w:val="28"/>
          <w:u w:val="single"/>
        </w:rPr>
      </w:pPr>
      <w:r w:rsidRPr="00ED133C">
        <w:rPr>
          <w:rFonts w:ascii="Arial" w:hAnsi="Arial" w:cs="Arial"/>
          <w:b/>
          <w:szCs w:val="28"/>
        </w:rPr>
        <w:t xml:space="preserve">III. </w:t>
      </w:r>
      <w:r w:rsidRPr="00ED133C">
        <w:rPr>
          <w:rFonts w:ascii="Arial" w:hAnsi="Arial" w:cs="Arial"/>
          <w:b/>
          <w:szCs w:val="28"/>
          <w:u w:val="single"/>
        </w:rPr>
        <w:t>ANÁLISIS JURÍDICO</w:t>
      </w:r>
    </w:p>
    <w:p w14:paraId="3DF5B8AD" w14:textId="16BAA2D0" w:rsidR="00B61B24" w:rsidRDefault="00B61B24" w:rsidP="006C7E01">
      <w:pPr>
        <w:spacing w:line="288" w:lineRule="auto"/>
        <w:rPr>
          <w:rFonts w:ascii="Arial" w:hAnsi="Arial" w:cs="Arial"/>
          <w:szCs w:val="28"/>
        </w:rPr>
      </w:pPr>
    </w:p>
    <w:p w14:paraId="6940C665" w14:textId="343059E7" w:rsidR="00235EB5" w:rsidRPr="00ED133C" w:rsidRDefault="00235EB5" w:rsidP="006C7E01">
      <w:pPr>
        <w:spacing w:line="288" w:lineRule="auto"/>
        <w:rPr>
          <w:rFonts w:ascii="Arial" w:hAnsi="Arial" w:cs="Arial"/>
          <w:szCs w:val="28"/>
        </w:rPr>
      </w:pPr>
      <w:r w:rsidRPr="00ED133C">
        <w:rPr>
          <w:rFonts w:ascii="Arial" w:hAnsi="Arial" w:cs="Arial"/>
          <w:szCs w:val="28"/>
        </w:rPr>
        <w:t xml:space="preserve">1. </w:t>
      </w:r>
      <w:r w:rsidR="00591EBC" w:rsidRPr="00ED133C">
        <w:rPr>
          <w:rFonts w:ascii="Arial" w:hAnsi="Arial" w:cs="Arial"/>
          <w:szCs w:val="28"/>
          <w:u w:val="single"/>
        </w:rPr>
        <w:t>FUNDAMENTO JURÍDICO Y RANGO NORMATIVO</w:t>
      </w:r>
    </w:p>
    <w:p w14:paraId="750811CA" w14:textId="26935E57" w:rsidR="00235EB5" w:rsidRPr="00ED133C" w:rsidRDefault="00235EB5" w:rsidP="00235EB5">
      <w:pPr>
        <w:spacing w:line="288" w:lineRule="auto"/>
        <w:rPr>
          <w:rFonts w:ascii="Arial" w:hAnsi="Arial" w:cs="Arial"/>
          <w:szCs w:val="28"/>
        </w:rPr>
      </w:pPr>
      <w:r w:rsidRPr="00ED133C">
        <w:rPr>
          <w:rFonts w:ascii="Arial" w:hAnsi="Arial" w:cs="Arial"/>
          <w:szCs w:val="28"/>
        </w:rPr>
        <w:t xml:space="preserve">Mediante </w:t>
      </w:r>
      <w:r w:rsidR="009B0206" w:rsidRPr="00ED133C">
        <w:rPr>
          <w:rFonts w:ascii="Arial" w:hAnsi="Arial" w:cs="Arial"/>
          <w:szCs w:val="28"/>
        </w:rPr>
        <w:t>este proyecto</w:t>
      </w:r>
      <w:r w:rsidRPr="00ED133C">
        <w:rPr>
          <w:rFonts w:ascii="Arial" w:hAnsi="Arial" w:cs="Arial"/>
          <w:szCs w:val="28"/>
        </w:rPr>
        <w:t>, se da cumplimiento al mandato al Gobierno para fijar anualmente el salario mínimo interprofesional contenido en el artículo 27.1 del Estatuto de los Trabajadores</w:t>
      </w:r>
      <w:r w:rsidR="0030600D" w:rsidRPr="00ED133C">
        <w:rPr>
          <w:rFonts w:ascii="Arial" w:hAnsi="Arial" w:cs="Arial"/>
          <w:szCs w:val="28"/>
        </w:rPr>
        <w:t>, y en los términos establecidos en el mismo</w:t>
      </w:r>
      <w:r w:rsidRPr="00ED133C">
        <w:rPr>
          <w:rFonts w:ascii="Arial" w:hAnsi="Arial" w:cs="Arial"/>
          <w:szCs w:val="28"/>
        </w:rPr>
        <w:t>.</w:t>
      </w:r>
    </w:p>
    <w:p w14:paraId="519F7150" w14:textId="7E96ED31" w:rsidR="00235EB5" w:rsidRPr="00ED133C" w:rsidRDefault="00235EB5" w:rsidP="00235EB5">
      <w:pPr>
        <w:spacing w:line="288" w:lineRule="auto"/>
        <w:rPr>
          <w:rFonts w:ascii="Arial" w:hAnsi="Arial" w:cs="Arial"/>
          <w:szCs w:val="28"/>
        </w:rPr>
      </w:pPr>
      <w:r w:rsidRPr="00ED133C">
        <w:rPr>
          <w:rFonts w:ascii="Arial" w:hAnsi="Arial" w:cs="Arial"/>
          <w:szCs w:val="28"/>
        </w:rPr>
        <w:t xml:space="preserve">Desde el punto de vista formal, el proyecto es conforme con la atribución genérica al Gobierno del ejercicio de la potestad reglamentaria en el artículo 97 de la Constitución, concretada a favor del Consejo de Ministros en el artículo 5.1.h) de la Ley 50/1997, de 27 de noviembre. </w:t>
      </w:r>
    </w:p>
    <w:p w14:paraId="6CCAD883" w14:textId="77777777" w:rsidR="00235EB5" w:rsidRPr="00ED133C" w:rsidRDefault="00235EB5" w:rsidP="00235EB5">
      <w:pPr>
        <w:spacing w:line="288" w:lineRule="auto"/>
        <w:rPr>
          <w:rFonts w:ascii="Arial" w:hAnsi="Arial" w:cs="Arial"/>
          <w:szCs w:val="28"/>
        </w:rPr>
      </w:pPr>
      <w:r w:rsidRPr="00ED133C">
        <w:rPr>
          <w:rFonts w:ascii="Arial" w:hAnsi="Arial" w:cs="Arial"/>
          <w:szCs w:val="28"/>
        </w:rPr>
        <w:t xml:space="preserve">Asimismo, por el artículo 24.1.c) de la Ley 50/1997, de 27 de noviembre, se establece que deben adoptar la forma de reales decretos acordados en Consejo </w:t>
      </w:r>
      <w:r w:rsidRPr="00ED133C">
        <w:rPr>
          <w:rFonts w:ascii="Arial" w:hAnsi="Arial" w:cs="Arial"/>
          <w:szCs w:val="28"/>
        </w:rPr>
        <w:lastRenderedPageBreak/>
        <w:t>de Ministros las decisiones que aprueben normas reglamentarias de la competencia de éste y las resoluciones que deban adoptar dicha forma jurídica.</w:t>
      </w:r>
    </w:p>
    <w:p w14:paraId="3CE0FA3F" w14:textId="77777777" w:rsidR="00A17924" w:rsidRPr="00ED133C" w:rsidRDefault="007E23F7" w:rsidP="00112C63">
      <w:pPr>
        <w:spacing w:line="288" w:lineRule="auto"/>
        <w:rPr>
          <w:rFonts w:ascii="Arial" w:hAnsi="Arial" w:cs="Arial"/>
          <w:szCs w:val="28"/>
        </w:rPr>
      </w:pPr>
      <w:r w:rsidRPr="00ED133C">
        <w:rPr>
          <w:rFonts w:ascii="Arial" w:hAnsi="Arial" w:cs="Arial"/>
          <w:szCs w:val="28"/>
        </w:rPr>
        <w:t>Por lo que respecta a la naturaleza jurídica del proyecto</w:t>
      </w:r>
      <w:r w:rsidR="00A17924" w:rsidRPr="00ED133C">
        <w:rPr>
          <w:rFonts w:ascii="Arial" w:hAnsi="Arial" w:cs="Arial"/>
          <w:szCs w:val="28"/>
        </w:rPr>
        <w:t>,</w:t>
      </w:r>
      <w:r w:rsidRPr="00ED133C">
        <w:rPr>
          <w:rFonts w:ascii="Arial" w:hAnsi="Arial" w:cs="Arial"/>
          <w:szCs w:val="28"/>
        </w:rPr>
        <w:t xml:space="preserve"> </w:t>
      </w:r>
      <w:r w:rsidR="008E4201" w:rsidRPr="00ED133C">
        <w:rPr>
          <w:rFonts w:ascii="Arial" w:hAnsi="Arial" w:cs="Arial"/>
          <w:szCs w:val="28"/>
        </w:rPr>
        <w:t xml:space="preserve">la Sala de lo Contencioso Administrativo del </w:t>
      </w:r>
      <w:r w:rsidR="00A17924" w:rsidRPr="00ED133C">
        <w:rPr>
          <w:rFonts w:ascii="Arial" w:hAnsi="Arial" w:cs="Arial"/>
          <w:szCs w:val="28"/>
        </w:rPr>
        <w:t>Tribunal Supremo señala en su sentencia</w:t>
      </w:r>
      <w:r w:rsidR="008E4201" w:rsidRPr="00ED133C">
        <w:rPr>
          <w:rFonts w:ascii="Arial" w:hAnsi="Arial" w:cs="Arial"/>
          <w:szCs w:val="28"/>
        </w:rPr>
        <w:t xml:space="preserve"> de 7 de octubre de 2020 </w:t>
      </w:r>
      <w:r w:rsidR="00A17924" w:rsidRPr="00ED133C">
        <w:rPr>
          <w:rFonts w:ascii="Arial" w:hAnsi="Arial" w:cs="Arial"/>
          <w:szCs w:val="28"/>
        </w:rPr>
        <w:t>(Sentencia núm. 1268/2020) que la fijación del Salario Mínimo Interprofesional tiene un contenido decisorio que no es de naturaleza normativa</w:t>
      </w:r>
      <w:r w:rsidR="008E4201" w:rsidRPr="00ED133C">
        <w:rPr>
          <w:rFonts w:ascii="Arial" w:hAnsi="Arial" w:cs="Arial"/>
          <w:szCs w:val="28"/>
        </w:rPr>
        <w:t>. De esta forma</w:t>
      </w:r>
      <w:r w:rsidR="004E7B2B" w:rsidRPr="00ED133C">
        <w:rPr>
          <w:rFonts w:ascii="Arial" w:hAnsi="Arial" w:cs="Arial"/>
          <w:szCs w:val="28"/>
        </w:rPr>
        <w:t xml:space="preserve"> y por lo que respecta a la fijación de la nueva cuantía del SMI, </w:t>
      </w:r>
      <w:r w:rsidR="00A17924" w:rsidRPr="00ED133C">
        <w:rPr>
          <w:rFonts w:ascii="Arial" w:hAnsi="Arial" w:cs="Arial"/>
          <w:szCs w:val="28"/>
        </w:rPr>
        <w:t>constituye un acto de gobierno, como, a título de ejemplo, los reales decretos que se dictan al amparo de lo previsto</w:t>
      </w:r>
      <w:r w:rsidR="008E4201" w:rsidRPr="00ED133C">
        <w:rPr>
          <w:rFonts w:ascii="Arial" w:hAnsi="Arial" w:cs="Arial"/>
          <w:szCs w:val="28"/>
        </w:rPr>
        <w:t xml:space="preserve"> en el art. 28.2 de la Ley 38/2003, de 17 de noviembre, General de Subvenciones. </w:t>
      </w:r>
      <w:r w:rsidR="002D258D" w:rsidRPr="00ED133C">
        <w:rPr>
          <w:rFonts w:ascii="Arial" w:hAnsi="Arial" w:cs="Arial"/>
          <w:szCs w:val="28"/>
        </w:rPr>
        <w:t>En línea con lo expuesto, e</w:t>
      </w:r>
      <w:r w:rsidR="008E4201" w:rsidRPr="00ED133C">
        <w:rPr>
          <w:rFonts w:ascii="Arial" w:hAnsi="Arial" w:cs="Arial"/>
          <w:szCs w:val="28"/>
        </w:rPr>
        <w:t>l Tribuna</w:t>
      </w:r>
      <w:r w:rsidR="005A5312" w:rsidRPr="00ED133C">
        <w:rPr>
          <w:rFonts w:ascii="Arial" w:hAnsi="Arial" w:cs="Arial"/>
          <w:szCs w:val="28"/>
        </w:rPr>
        <w:t>l</w:t>
      </w:r>
      <w:r w:rsidR="008E4201" w:rsidRPr="00ED133C">
        <w:rPr>
          <w:rFonts w:ascii="Arial" w:hAnsi="Arial" w:cs="Arial"/>
          <w:szCs w:val="28"/>
        </w:rPr>
        <w:t xml:space="preserve"> Supremo, en la citada sentencia establece</w:t>
      </w:r>
      <w:r w:rsidR="00A17924" w:rsidRPr="00ED133C">
        <w:rPr>
          <w:rFonts w:ascii="Arial" w:hAnsi="Arial" w:cs="Arial"/>
          <w:szCs w:val="28"/>
        </w:rPr>
        <w:t>:</w:t>
      </w:r>
    </w:p>
    <w:p w14:paraId="1DED2904" w14:textId="77777777" w:rsidR="00A17924" w:rsidRPr="00ED133C" w:rsidRDefault="00A17924" w:rsidP="00115B6C">
      <w:pPr>
        <w:spacing w:line="288" w:lineRule="auto"/>
        <w:ind w:left="851"/>
        <w:rPr>
          <w:rFonts w:ascii="Arial" w:hAnsi="Arial" w:cs="Arial"/>
          <w:i/>
          <w:szCs w:val="28"/>
        </w:rPr>
      </w:pPr>
      <w:r w:rsidRPr="00ED133C">
        <w:rPr>
          <w:rFonts w:ascii="Arial" w:hAnsi="Arial" w:cs="Arial"/>
          <w:i/>
          <w:szCs w:val="28"/>
        </w:rPr>
        <w:t xml:space="preserve">La Sala reitera que la fijación del SMI tiene en sí un contenido decisorio o resolutorio que no es de naturaleza normativa, luego derivado de ese aspecto estos reales decretos anuales no son normas de desarrollo o ejecución del artículo 27.1 del ET, cuestión a la que se limita este recurso. </w:t>
      </w:r>
      <w:r w:rsidRPr="00ED133C">
        <w:rPr>
          <w:rFonts w:ascii="Arial" w:hAnsi="Arial" w:cs="Arial"/>
          <w:b/>
          <w:i/>
          <w:szCs w:val="28"/>
        </w:rPr>
        <w:t>Tal precepto apodera al Gobierno para que adopte una decisión: fijar el SMI, no para regular o reglamentar su régimen jurídico y tal verbo –fijar- que expresa la potestad atribuida al Gobierno se viene empleando desde la Ley 16/1976, de 8 de abril, de Relaciones Laborales (artículo 28) y por los artículos 27.1 de los distintos ET desde 1980. En ese aspecto de mera fijación el artículo 27.1 del ET no acude a la colaboración de la potestad reglamentaria de la Administración para que, mediante una norma de tal naturaleza y rango, desarrolle o complete el régimen jurídico del SMI</w:t>
      </w:r>
      <w:r w:rsidRPr="00ED133C">
        <w:rPr>
          <w:rFonts w:ascii="Arial" w:hAnsi="Arial" w:cs="Arial"/>
          <w:i/>
          <w:szCs w:val="28"/>
        </w:rPr>
        <w:t>. Cosa distinta es que la Administración formalmente plasme su decisión en un artículo, y que al tiempo que ejerce dicha potestad de fijación del SMI regule aspectos ligados al alcance de su fijación, tal y como se deduce del articulado de los distintos reales decretos”</w:t>
      </w:r>
      <w:r w:rsidR="00A974BC" w:rsidRPr="00ED133C">
        <w:rPr>
          <w:rFonts w:ascii="Arial" w:hAnsi="Arial" w:cs="Arial"/>
          <w:i/>
          <w:szCs w:val="28"/>
        </w:rPr>
        <w:t xml:space="preserve"> </w:t>
      </w:r>
      <w:r w:rsidRPr="00ED133C">
        <w:rPr>
          <w:rFonts w:ascii="Arial" w:hAnsi="Arial" w:cs="Arial"/>
          <w:i/>
          <w:szCs w:val="28"/>
        </w:rPr>
        <w:t xml:space="preserve">(Sentencia núm. 1268/2020). </w:t>
      </w:r>
    </w:p>
    <w:p w14:paraId="2E4B4809" w14:textId="7F167CD7" w:rsidR="00C9054E" w:rsidRPr="00ED133C" w:rsidRDefault="00C9054E" w:rsidP="00C9054E">
      <w:pPr>
        <w:spacing w:line="288" w:lineRule="auto"/>
        <w:rPr>
          <w:rFonts w:ascii="Arial" w:hAnsi="Arial" w:cs="Arial"/>
          <w:b/>
          <w:i/>
          <w:szCs w:val="28"/>
        </w:rPr>
      </w:pPr>
      <w:r w:rsidRPr="00ED133C">
        <w:rPr>
          <w:rFonts w:ascii="Arial" w:hAnsi="Arial" w:cs="Arial"/>
          <w:szCs w:val="28"/>
        </w:rPr>
        <w:t>En el mismo sentido se expresan sendas Sentencias del Tribunal Supremo dictadas a propósito de los recursos 187 y 207/2014</w:t>
      </w:r>
      <w:r w:rsidR="002D258D" w:rsidRPr="00ED133C">
        <w:rPr>
          <w:rStyle w:val="Refdenotaalpie"/>
          <w:rFonts w:ascii="Arial" w:hAnsi="Arial" w:cs="Arial"/>
          <w:szCs w:val="28"/>
        </w:rPr>
        <w:footnoteReference w:id="1"/>
      </w:r>
      <w:r w:rsidRPr="00ED133C">
        <w:rPr>
          <w:rFonts w:ascii="Arial" w:hAnsi="Arial" w:cs="Arial"/>
          <w:szCs w:val="28"/>
        </w:rPr>
        <w:t>:</w:t>
      </w:r>
      <w:r w:rsidRPr="00ED133C">
        <w:rPr>
          <w:rFonts w:ascii="Arial" w:hAnsi="Arial" w:cs="Arial"/>
          <w:i/>
          <w:szCs w:val="28"/>
        </w:rPr>
        <w:t xml:space="preserve"> </w:t>
      </w:r>
      <w:r w:rsidRPr="00ED133C">
        <w:rPr>
          <w:rFonts w:ascii="Arial" w:hAnsi="Arial" w:cs="Arial"/>
          <w:b/>
          <w:i/>
          <w:szCs w:val="28"/>
        </w:rPr>
        <w:t>En este sentido, la decisión de fijar el SMI responde a una determinación que, en lo jurídico, es de naturaleza política.</w:t>
      </w:r>
    </w:p>
    <w:p w14:paraId="191742FC" w14:textId="77777777" w:rsidR="00235EB5" w:rsidRPr="00ED133C" w:rsidRDefault="00235EB5" w:rsidP="00235EB5">
      <w:pPr>
        <w:spacing w:line="288" w:lineRule="auto"/>
        <w:rPr>
          <w:rFonts w:ascii="Arial" w:hAnsi="Arial" w:cs="Arial"/>
          <w:szCs w:val="28"/>
        </w:rPr>
      </w:pPr>
      <w:r w:rsidRPr="00ED133C">
        <w:rPr>
          <w:rFonts w:ascii="Arial" w:hAnsi="Arial" w:cs="Arial"/>
          <w:szCs w:val="28"/>
        </w:rPr>
        <w:lastRenderedPageBreak/>
        <w:t xml:space="preserve">Por todo lo anterior, la forma de real decreto que se da a la iniciativa de referencia es adecuada. </w:t>
      </w:r>
    </w:p>
    <w:p w14:paraId="2C717C7D" w14:textId="77777777" w:rsidR="00A974BC" w:rsidRPr="00ED133C" w:rsidRDefault="00A974BC" w:rsidP="00235EB5">
      <w:pPr>
        <w:spacing w:line="288" w:lineRule="auto"/>
        <w:rPr>
          <w:rFonts w:ascii="Arial" w:hAnsi="Arial" w:cs="Arial"/>
          <w:szCs w:val="28"/>
        </w:rPr>
      </w:pPr>
    </w:p>
    <w:p w14:paraId="18C19111" w14:textId="77777777" w:rsidR="00235EB5" w:rsidRPr="00ED133C" w:rsidRDefault="00591EBC" w:rsidP="00235EB5">
      <w:pPr>
        <w:spacing w:line="288" w:lineRule="auto"/>
        <w:rPr>
          <w:rFonts w:ascii="Arial" w:hAnsi="Arial" w:cs="Arial"/>
          <w:szCs w:val="28"/>
          <w:u w:val="single"/>
        </w:rPr>
      </w:pPr>
      <w:r w:rsidRPr="00ED133C">
        <w:rPr>
          <w:rFonts w:ascii="Arial" w:hAnsi="Arial" w:cs="Arial"/>
          <w:szCs w:val="28"/>
        </w:rPr>
        <w:t xml:space="preserve">2. </w:t>
      </w:r>
      <w:r w:rsidRPr="00ED133C">
        <w:rPr>
          <w:rFonts w:ascii="Arial" w:hAnsi="Arial" w:cs="Arial"/>
          <w:szCs w:val="28"/>
          <w:u w:val="single"/>
        </w:rPr>
        <w:t>CONGRUENCIA CON EL ORDENAMIENTO JURÍDICO</w:t>
      </w:r>
    </w:p>
    <w:p w14:paraId="54E701DB" w14:textId="77777777" w:rsidR="00235EB5" w:rsidRPr="00ED133C" w:rsidRDefault="00235EB5" w:rsidP="00235EB5">
      <w:pPr>
        <w:spacing w:line="288" w:lineRule="auto"/>
        <w:rPr>
          <w:rFonts w:ascii="Arial" w:hAnsi="Arial" w:cs="Arial"/>
          <w:szCs w:val="28"/>
        </w:rPr>
      </w:pPr>
      <w:r w:rsidRPr="00ED133C">
        <w:rPr>
          <w:rFonts w:ascii="Arial" w:hAnsi="Arial" w:cs="Arial"/>
          <w:szCs w:val="28"/>
        </w:rPr>
        <w:t>El artículo 27 del Estatuto de los Trabajadores regula el salario mínimo interprofesional</w:t>
      </w:r>
      <w:r w:rsidR="001B08E5" w:rsidRPr="00ED133C">
        <w:rPr>
          <w:rFonts w:ascii="Arial" w:hAnsi="Arial" w:cs="Arial"/>
          <w:szCs w:val="28"/>
        </w:rPr>
        <w:t xml:space="preserve"> en los siguientes términos:</w:t>
      </w:r>
    </w:p>
    <w:p w14:paraId="3D3F0FBE" w14:textId="77777777" w:rsidR="00235EB5" w:rsidRPr="00ED133C" w:rsidRDefault="00235EB5" w:rsidP="001B08E5">
      <w:pPr>
        <w:spacing w:line="288" w:lineRule="auto"/>
        <w:ind w:left="708"/>
        <w:rPr>
          <w:rFonts w:ascii="Arial" w:hAnsi="Arial" w:cs="Arial"/>
          <w:i/>
          <w:szCs w:val="28"/>
        </w:rPr>
      </w:pPr>
      <w:r w:rsidRPr="00ED133C">
        <w:rPr>
          <w:rFonts w:ascii="Arial" w:hAnsi="Arial" w:cs="Arial"/>
          <w:i/>
          <w:szCs w:val="28"/>
        </w:rPr>
        <w:t>1. El Gobierno fijará, previa consulta con las organizaciones sindicales y asociaciones empresariales más representativas, anualmente, el salario mínimo interprofesional, teniendo en cuenta:</w:t>
      </w:r>
    </w:p>
    <w:p w14:paraId="374BB60E" w14:textId="77777777" w:rsidR="001B08E5" w:rsidRPr="00ED133C" w:rsidRDefault="00235EB5" w:rsidP="001B08E5">
      <w:pPr>
        <w:spacing w:line="288" w:lineRule="auto"/>
        <w:ind w:left="708"/>
        <w:rPr>
          <w:rFonts w:ascii="Arial" w:hAnsi="Arial" w:cs="Arial"/>
          <w:i/>
          <w:szCs w:val="28"/>
        </w:rPr>
      </w:pPr>
      <w:r w:rsidRPr="00ED133C">
        <w:rPr>
          <w:rFonts w:ascii="Arial" w:hAnsi="Arial" w:cs="Arial"/>
          <w:i/>
          <w:szCs w:val="28"/>
        </w:rPr>
        <w:t>a) El índice de precios de consumo</w:t>
      </w:r>
      <w:r w:rsidR="001B08E5" w:rsidRPr="00ED133C">
        <w:rPr>
          <w:rFonts w:ascii="Arial" w:hAnsi="Arial" w:cs="Arial"/>
          <w:i/>
          <w:szCs w:val="28"/>
        </w:rPr>
        <w:t>.</w:t>
      </w:r>
    </w:p>
    <w:p w14:paraId="6E93FC3E" w14:textId="77777777" w:rsidR="001B08E5" w:rsidRPr="00ED133C" w:rsidRDefault="00235EB5" w:rsidP="001B08E5">
      <w:pPr>
        <w:spacing w:line="288" w:lineRule="auto"/>
        <w:ind w:left="708"/>
        <w:rPr>
          <w:rFonts w:ascii="Arial" w:hAnsi="Arial" w:cs="Arial"/>
          <w:i/>
          <w:szCs w:val="28"/>
        </w:rPr>
      </w:pPr>
      <w:r w:rsidRPr="00ED133C">
        <w:rPr>
          <w:rFonts w:ascii="Arial" w:hAnsi="Arial" w:cs="Arial"/>
          <w:i/>
          <w:szCs w:val="28"/>
        </w:rPr>
        <w:t>b) La productividad media nacional alcanzada.</w:t>
      </w:r>
    </w:p>
    <w:p w14:paraId="3E40C977" w14:textId="77777777" w:rsidR="00235EB5" w:rsidRPr="00ED133C" w:rsidRDefault="00235EB5" w:rsidP="001B08E5">
      <w:pPr>
        <w:spacing w:line="288" w:lineRule="auto"/>
        <w:ind w:left="708"/>
        <w:rPr>
          <w:rFonts w:ascii="Arial" w:hAnsi="Arial" w:cs="Arial"/>
          <w:i/>
          <w:szCs w:val="28"/>
        </w:rPr>
      </w:pPr>
      <w:r w:rsidRPr="00ED133C">
        <w:rPr>
          <w:rFonts w:ascii="Arial" w:hAnsi="Arial" w:cs="Arial"/>
          <w:i/>
          <w:szCs w:val="28"/>
        </w:rPr>
        <w:t>c) El incremento de la participación del trabajo en la renta nacional.</w:t>
      </w:r>
    </w:p>
    <w:p w14:paraId="567DA648" w14:textId="77777777" w:rsidR="00235EB5" w:rsidRPr="00ED133C" w:rsidRDefault="00235EB5" w:rsidP="001B08E5">
      <w:pPr>
        <w:spacing w:line="288" w:lineRule="auto"/>
        <w:ind w:left="708"/>
        <w:rPr>
          <w:rFonts w:ascii="Arial" w:hAnsi="Arial" w:cs="Arial"/>
          <w:i/>
          <w:szCs w:val="28"/>
        </w:rPr>
      </w:pPr>
      <w:r w:rsidRPr="00ED133C">
        <w:rPr>
          <w:rFonts w:ascii="Arial" w:hAnsi="Arial" w:cs="Arial"/>
          <w:i/>
          <w:szCs w:val="28"/>
        </w:rPr>
        <w:t>d) La coyuntura económica general.</w:t>
      </w:r>
    </w:p>
    <w:p w14:paraId="2D610002" w14:textId="77777777" w:rsidR="00235EB5" w:rsidRPr="00ED133C" w:rsidRDefault="00235EB5" w:rsidP="001B08E5">
      <w:pPr>
        <w:spacing w:line="288" w:lineRule="auto"/>
        <w:ind w:left="708"/>
        <w:rPr>
          <w:rFonts w:ascii="Arial" w:hAnsi="Arial" w:cs="Arial"/>
          <w:i/>
          <w:szCs w:val="28"/>
        </w:rPr>
      </w:pPr>
      <w:r w:rsidRPr="00ED133C">
        <w:rPr>
          <w:rFonts w:ascii="Arial" w:hAnsi="Arial" w:cs="Arial"/>
          <w:i/>
          <w:szCs w:val="28"/>
        </w:rPr>
        <w:t>Igualmente se fijará una revisión semestral para el caso de que no se cumplan las previsiones sobre el índice de precios citado.</w:t>
      </w:r>
    </w:p>
    <w:p w14:paraId="7D4A1D1F" w14:textId="77777777" w:rsidR="00235EB5" w:rsidRPr="00ED133C" w:rsidRDefault="00235EB5" w:rsidP="001B08E5">
      <w:pPr>
        <w:spacing w:line="288" w:lineRule="auto"/>
        <w:ind w:left="708"/>
        <w:rPr>
          <w:rFonts w:ascii="Arial" w:hAnsi="Arial" w:cs="Arial"/>
          <w:i/>
          <w:szCs w:val="28"/>
        </w:rPr>
      </w:pPr>
      <w:r w:rsidRPr="00ED133C">
        <w:rPr>
          <w:rFonts w:ascii="Arial" w:hAnsi="Arial" w:cs="Arial"/>
          <w:i/>
          <w:szCs w:val="28"/>
        </w:rPr>
        <w:t>La revisión del salario mínimo interprofesional no afectará a la estructura ni a la cuantía de los salarios profesionales cuando estos, en su conjunto y cómputo anual, fueran superiores a aquel.</w:t>
      </w:r>
    </w:p>
    <w:p w14:paraId="2F9FD998" w14:textId="77777777" w:rsidR="00CA655D" w:rsidRDefault="001852C6" w:rsidP="00CA655D">
      <w:pPr>
        <w:spacing w:line="288" w:lineRule="auto"/>
        <w:rPr>
          <w:rFonts w:ascii="Arial" w:hAnsi="Arial" w:cs="Arial"/>
          <w:szCs w:val="28"/>
        </w:rPr>
      </w:pPr>
      <w:r w:rsidRPr="00DA1529">
        <w:rPr>
          <w:rFonts w:ascii="Arial" w:hAnsi="Arial" w:cs="Arial"/>
          <w:szCs w:val="28"/>
        </w:rPr>
        <w:t xml:space="preserve">El </w:t>
      </w:r>
      <w:r w:rsidR="00063B83" w:rsidRPr="00DA1529">
        <w:rPr>
          <w:rFonts w:ascii="Arial" w:hAnsi="Arial" w:cs="Arial"/>
          <w:szCs w:val="28"/>
        </w:rPr>
        <w:t>Real Decreto</w:t>
      </w:r>
      <w:r w:rsidR="00BA2C01" w:rsidRPr="00DA1529">
        <w:rPr>
          <w:rFonts w:ascii="Arial" w:hAnsi="Arial" w:cs="Arial"/>
          <w:szCs w:val="28"/>
        </w:rPr>
        <w:t xml:space="preserve"> </w:t>
      </w:r>
      <w:r w:rsidR="002C3850" w:rsidRPr="00C249FB">
        <w:rPr>
          <w:rFonts w:ascii="Arial" w:hAnsi="Arial" w:cs="Arial"/>
          <w:szCs w:val="28"/>
        </w:rPr>
        <w:t>99/2</w:t>
      </w:r>
      <w:r w:rsidR="00FB346B" w:rsidRPr="00C249FB">
        <w:rPr>
          <w:rFonts w:ascii="Arial" w:hAnsi="Arial" w:cs="Arial"/>
          <w:szCs w:val="28"/>
        </w:rPr>
        <w:t>0</w:t>
      </w:r>
      <w:r w:rsidR="002C3850" w:rsidRPr="00C249FB">
        <w:rPr>
          <w:rFonts w:ascii="Arial" w:hAnsi="Arial" w:cs="Arial"/>
          <w:szCs w:val="28"/>
        </w:rPr>
        <w:t>23, de 14</w:t>
      </w:r>
      <w:r w:rsidR="00BA2C01" w:rsidRPr="00C249FB">
        <w:rPr>
          <w:rFonts w:ascii="Arial" w:hAnsi="Arial" w:cs="Arial"/>
          <w:szCs w:val="28"/>
        </w:rPr>
        <w:t xml:space="preserve"> de febrero</w:t>
      </w:r>
      <w:r w:rsidR="00063B83" w:rsidRPr="00DA1529">
        <w:rPr>
          <w:rFonts w:ascii="Arial" w:hAnsi="Arial" w:cs="Arial"/>
          <w:szCs w:val="28"/>
        </w:rPr>
        <w:t xml:space="preserve"> </w:t>
      </w:r>
      <w:r w:rsidRPr="00DA1529">
        <w:rPr>
          <w:rFonts w:ascii="Arial" w:hAnsi="Arial" w:cs="Arial"/>
          <w:szCs w:val="28"/>
        </w:rPr>
        <w:t>fija el salario mínimo interprofesional para 202</w:t>
      </w:r>
      <w:r w:rsidR="002C3850">
        <w:rPr>
          <w:rFonts w:ascii="Arial" w:hAnsi="Arial" w:cs="Arial"/>
          <w:szCs w:val="28"/>
        </w:rPr>
        <w:t>3</w:t>
      </w:r>
      <w:r w:rsidRPr="00DA1529">
        <w:rPr>
          <w:rFonts w:ascii="Arial" w:hAnsi="Arial" w:cs="Arial"/>
          <w:szCs w:val="28"/>
        </w:rPr>
        <w:t xml:space="preserve"> en el marco del diálogo social.</w:t>
      </w:r>
      <w:r w:rsidR="005A0ACE" w:rsidRPr="00DA1529">
        <w:rPr>
          <w:rFonts w:ascii="Arial" w:hAnsi="Arial" w:cs="Arial"/>
          <w:szCs w:val="28"/>
        </w:rPr>
        <w:t xml:space="preserve"> </w:t>
      </w:r>
      <w:r w:rsidR="00CA655D" w:rsidRPr="00CA655D">
        <w:rPr>
          <w:rFonts w:ascii="Arial" w:hAnsi="Arial" w:cs="Arial"/>
          <w:szCs w:val="28"/>
        </w:rPr>
        <w:t>Los efectos de dicho real decreto y, por tanto, la cuantía del SMI, fueron prorrogados hasta la aprobación del salario mínimo interprofesional para el 202</w:t>
      </w:r>
      <w:r w:rsidR="00CA655D">
        <w:rPr>
          <w:rFonts w:ascii="Arial" w:hAnsi="Arial" w:cs="Arial"/>
          <w:szCs w:val="28"/>
        </w:rPr>
        <w:t>4</w:t>
      </w:r>
      <w:r w:rsidR="00CA655D" w:rsidRPr="00CA655D">
        <w:rPr>
          <w:rFonts w:ascii="Arial" w:hAnsi="Arial" w:cs="Arial"/>
          <w:szCs w:val="28"/>
        </w:rPr>
        <w:t xml:space="preserve"> en virtud del artículo </w:t>
      </w:r>
      <w:r w:rsidR="00CA655D">
        <w:rPr>
          <w:rFonts w:ascii="Arial" w:hAnsi="Arial" w:cs="Arial"/>
          <w:szCs w:val="28"/>
        </w:rPr>
        <w:t>84</w:t>
      </w:r>
      <w:r w:rsidR="00CA655D" w:rsidRPr="00CA655D">
        <w:rPr>
          <w:rFonts w:ascii="Arial" w:hAnsi="Arial" w:cs="Arial"/>
          <w:szCs w:val="28"/>
        </w:rPr>
        <w:t xml:space="preserve"> del Real Decreto-ley 8/2023, de 27 de diciembre</w:t>
      </w:r>
      <w:r w:rsidR="00CA655D">
        <w:rPr>
          <w:rFonts w:ascii="Arial" w:hAnsi="Arial" w:cs="Arial"/>
          <w:szCs w:val="28"/>
        </w:rPr>
        <w:t xml:space="preserve">. </w:t>
      </w:r>
      <w:r w:rsidR="00CA655D" w:rsidRPr="00CA655D">
        <w:rPr>
          <w:rFonts w:ascii="Arial" w:hAnsi="Arial" w:cs="Arial"/>
          <w:szCs w:val="28"/>
        </w:rPr>
        <w:t>Es en tal marco en el que se incardina la aprobación de este real decreto.</w:t>
      </w:r>
    </w:p>
    <w:p w14:paraId="2CB4CAE3" w14:textId="1AB1BCAC" w:rsidR="005A0ACE" w:rsidRPr="00ED133C" w:rsidRDefault="005A0ACE" w:rsidP="00CA655D">
      <w:pPr>
        <w:spacing w:line="288" w:lineRule="auto"/>
        <w:rPr>
          <w:rFonts w:ascii="Arial" w:hAnsi="Arial" w:cs="Arial"/>
          <w:szCs w:val="28"/>
        </w:rPr>
      </w:pPr>
      <w:r w:rsidRPr="00ED133C">
        <w:rPr>
          <w:rFonts w:ascii="Arial" w:hAnsi="Arial" w:cs="Arial"/>
          <w:szCs w:val="28"/>
        </w:rPr>
        <w:t xml:space="preserve">Por otra parte, en cuanto a la disposición transitoria única, el artículo 13 del Real Decreto-ley 28/2018, de 28 de diciembre, </w:t>
      </w:r>
      <w:bookmarkStart w:id="4" w:name="_Hlk83313280"/>
      <w:r w:rsidRPr="00ED133C">
        <w:rPr>
          <w:rFonts w:ascii="Arial" w:hAnsi="Arial" w:cs="Arial"/>
          <w:szCs w:val="28"/>
        </w:rPr>
        <w:t>para la revalorización de las pensiones públicas y otras medidas urgentes en materia social, laboral y de empleo</w:t>
      </w:r>
      <w:bookmarkEnd w:id="4"/>
      <w:r w:rsidRPr="00ED133C">
        <w:rPr>
          <w:rFonts w:ascii="Arial" w:hAnsi="Arial" w:cs="Arial"/>
          <w:szCs w:val="28"/>
        </w:rPr>
        <w:t xml:space="preserve">, establece que </w:t>
      </w:r>
      <w:r w:rsidRPr="00ED133C">
        <w:rPr>
          <w:rFonts w:ascii="Arial" w:hAnsi="Arial" w:cs="Arial"/>
          <w:i/>
          <w:szCs w:val="28"/>
        </w:rPr>
        <w:t>se considerarán habilitadas legalmente las reglas de afectación establecidas en el real decreto que fije anualmente el salario mínimo interprofesional en relación con el incremento de su cuantía a las normas no estatales y contratos y pactos de naturaleza privada vigentes a su entrada en vigor.</w:t>
      </w:r>
      <w:r w:rsidR="00A974BC" w:rsidRPr="00ED133C">
        <w:rPr>
          <w:rFonts w:ascii="Arial" w:hAnsi="Arial" w:cs="Arial"/>
          <w:i/>
          <w:szCs w:val="28"/>
        </w:rPr>
        <w:t xml:space="preserve"> </w:t>
      </w:r>
      <w:r w:rsidRPr="00ED133C">
        <w:rPr>
          <w:rFonts w:ascii="Arial" w:hAnsi="Arial" w:cs="Arial"/>
          <w:szCs w:val="28"/>
        </w:rPr>
        <w:t xml:space="preserve">Esta habilitación legal permite establecer reglas específicas de afectación </w:t>
      </w:r>
      <w:r w:rsidRPr="00ED133C">
        <w:rPr>
          <w:rFonts w:ascii="Arial" w:hAnsi="Arial" w:cs="Arial"/>
          <w:szCs w:val="28"/>
        </w:rPr>
        <w:lastRenderedPageBreak/>
        <w:t>que eviten un efecto indeseado o no pretendido por el incremento del salario mínimo interprofesional.</w:t>
      </w:r>
    </w:p>
    <w:p w14:paraId="2ED82196" w14:textId="77777777" w:rsidR="005A0ACE" w:rsidRPr="00ED133C" w:rsidRDefault="005A0ACE" w:rsidP="001852C6">
      <w:pPr>
        <w:spacing w:line="288" w:lineRule="auto"/>
        <w:rPr>
          <w:rFonts w:ascii="Arial" w:hAnsi="Arial" w:cs="Arial"/>
          <w:szCs w:val="28"/>
        </w:rPr>
      </w:pPr>
    </w:p>
    <w:p w14:paraId="348D3708" w14:textId="77777777" w:rsidR="00037E1F" w:rsidRPr="00ED133C" w:rsidRDefault="00591EBC" w:rsidP="00235EB5">
      <w:pPr>
        <w:spacing w:line="288" w:lineRule="auto"/>
        <w:rPr>
          <w:rFonts w:ascii="Arial" w:hAnsi="Arial" w:cs="Arial"/>
          <w:szCs w:val="28"/>
          <w:u w:val="single"/>
        </w:rPr>
      </w:pPr>
      <w:r w:rsidRPr="00ED133C">
        <w:rPr>
          <w:rFonts w:ascii="Arial" w:hAnsi="Arial" w:cs="Arial"/>
          <w:szCs w:val="28"/>
        </w:rPr>
        <w:t xml:space="preserve">3. </w:t>
      </w:r>
      <w:r w:rsidRPr="00ED133C">
        <w:rPr>
          <w:rFonts w:ascii="Arial" w:hAnsi="Arial" w:cs="Arial"/>
          <w:szCs w:val="28"/>
          <w:u w:val="single"/>
        </w:rPr>
        <w:t>DEROGACIÓN NORMATIVA Y ENTRADA EN VIGOR</w:t>
      </w:r>
    </w:p>
    <w:p w14:paraId="288508F2" w14:textId="77777777" w:rsidR="00037E1F" w:rsidRPr="00ED133C" w:rsidRDefault="00037E1F" w:rsidP="00037E1F">
      <w:pPr>
        <w:spacing w:line="288" w:lineRule="auto"/>
        <w:rPr>
          <w:rFonts w:ascii="Arial" w:hAnsi="Arial" w:cs="Arial"/>
          <w:szCs w:val="28"/>
        </w:rPr>
      </w:pPr>
      <w:r w:rsidRPr="00ED133C">
        <w:rPr>
          <w:rFonts w:ascii="Arial" w:hAnsi="Arial" w:cs="Arial"/>
          <w:szCs w:val="28"/>
        </w:rPr>
        <w:t>3.1. Derogación normativa</w:t>
      </w:r>
    </w:p>
    <w:p w14:paraId="12B4F9FE" w14:textId="2360F38B" w:rsidR="00037E1F" w:rsidRPr="00ED133C" w:rsidRDefault="00037E1F" w:rsidP="00037E1F">
      <w:pPr>
        <w:spacing w:line="288" w:lineRule="auto"/>
        <w:rPr>
          <w:rFonts w:ascii="Arial" w:hAnsi="Arial" w:cs="Arial"/>
          <w:szCs w:val="28"/>
        </w:rPr>
      </w:pPr>
      <w:r w:rsidRPr="00ED133C">
        <w:rPr>
          <w:rFonts w:ascii="Arial" w:hAnsi="Arial" w:cs="Arial"/>
          <w:szCs w:val="28"/>
        </w:rPr>
        <w:t xml:space="preserve">El proyecto de real decreto no incluye una disposición derogatoria. Dado </w:t>
      </w:r>
      <w:r w:rsidR="007C5E61">
        <w:rPr>
          <w:rFonts w:ascii="Arial" w:hAnsi="Arial" w:cs="Arial"/>
          <w:szCs w:val="28"/>
        </w:rPr>
        <w:t>que se trata de una</w:t>
      </w:r>
      <w:r w:rsidRPr="00ED133C">
        <w:rPr>
          <w:rFonts w:ascii="Arial" w:hAnsi="Arial" w:cs="Arial"/>
          <w:szCs w:val="28"/>
        </w:rPr>
        <w:t xml:space="preserve"> norma de revalorización de una cuantía determinada</w:t>
      </w:r>
      <w:r w:rsidR="007C5E61">
        <w:rPr>
          <w:rFonts w:ascii="Arial" w:hAnsi="Arial" w:cs="Arial"/>
          <w:szCs w:val="28"/>
        </w:rPr>
        <w:t xml:space="preserve"> y habida cuenta de</w:t>
      </w:r>
      <w:r w:rsidR="000A14F4" w:rsidRPr="00ED133C">
        <w:rPr>
          <w:rFonts w:ascii="Arial" w:hAnsi="Arial" w:cs="Arial"/>
          <w:szCs w:val="28"/>
        </w:rPr>
        <w:t xml:space="preserve"> la vigencia limitada del </w:t>
      </w:r>
      <w:r w:rsidR="002B29CA" w:rsidRPr="00ED133C">
        <w:rPr>
          <w:rFonts w:ascii="Arial" w:hAnsi="Arial" w:cs="Arial"/>
          <w:szCs w:val="28"/>
        </w:rPr>
        <w:t>Real Decreto</w:t>
      </w:r>
      <w:r w:rsidR="00BA2C01" w:rsidRPr="00ED133C">
        <w:rPr>
          <w:rFonts w:ascii="Arial" w:hAnsi="Arial" w:cs="Arial"/>
          <w:szCs w:val="28"/>
        </w:rPr>
        <w:t xml:space="preserve"> </w:t>
      </w:r>
      <w:r w:rsidR="002C3850">
        <w:rPr>
          <w:rFonts w:ascii="Arial" w:hAnsi="Arial" w:cs="Arial"/>
          <w:szCs w:val="28"/>
        </w:rPr>
        <w:t>99/2023, de 14</w:t>
      </w:r>
      <w:r w:rsidR="00BA2C01" w:rsidRPr="00ED133C">
        <w:rPr>
          <w:rFonts w:ascii="Arial" w:hAnsi="Arial" w:cs="Arial"/>
          <w:szCs w:val="28"/>
        </w:rPr>
        <w:t xml:space="preserve"> de febrero</w:t>
      </w:r>
      <w:r w:rsidRPr="00ED133C">
        <w:rPr>
          <w:rFonts w:ascii="Arial" w:hAnsi="Arial" w:cs="Arial"/>
          <w:szCs w:val="28"/>
        </w:rPr>
        <w:t xml:space="preserve">, </w:t>
      </w:r>
      <w:r w:rsidR="00CA655D" w:rsidRPr="00CA655D">
        <w:rPr>
          <w:rFonts w:ascii="Arial" w:hAnsi="Arial" w:cs="Arial"/>
          <w:szCs w:val="28"/>
        </w:rPr>
        <w:t>cuyos efectos son prorrogados únicamente hasta la aprobación del presente real decreto</w:t>
      </w:r>
      <w:r w:rsidR="00CA655D">
        <w:rPr>
          <w:rFonts w:ascii="Arial" w:hAnsi="Arial" w:cs="Arial"/>
          <w:szCs w:val="28"/>
        </w:rPr>
        <w:t xml:space="preserve">, </w:t>
      </w:r>
      <w:r w:rsidRPr="00ED133C">
        <w:rPr>
          <w:rFonts w:ascii="Arial" w:hAnsi="Arial" w:cs="Arial"/>
          <w:szCs w:val="28"/>
        </w:rPr>
        <w:t xml:space="preserve">se juzga innecesaria. </w:t>
      </w:r>
    </w:p>
    <w:p w14:paraId="43E74317" w14:textId="77777777" w:rsidR="00037E1F" w:rsidRPr="00ED133C" w:rsidRDefault="00037E1F" w:rsidP="00037E1F">
      <w:pPr>
        <w:spacing w:line="288" w:lineRule="auto"/>
        <w:rPr>
          <w:rFonts w:ascii="Arial" w:hAnsi="Arial" w:cs="Arial"/>
          <w:szCs w:val="28"/>
        </w:rPr>
      </w:pPr>
      <w:r w:rsidRPr="00ED133C">
        <w:rPr>
          <w:rFonts w:ascii="Arial" w:hAnsi="Arial" w:cs="Arial"/>
          <w:szCs w:val="28"/>
        </w:rPr>
        <w:t>3.2. Entrada en vigor</w:t>
      </w:r>
    </w:p>
    <w:p w14:paraId="1A059D94" w14:textId="77777777" w:rsidR="00037E1F" w:rsidRPr="00ED133C" w:rsidRDefault="00037E1F" w:rsidP="00037E1F">
      <w:pPr>
        <w:spacing w:line="288" w:lineRule="auto"/>
        <w:rPr>
          <w:rFonts w:ascii="Arial" w:hAnsi="Arial" w:cs="Arial"/>
          <w:szCs w:val="28"/>
        </w:rPr>
      </w:pPr>
      <w:r w:rsidRPr="00ED133C">
        <w:rPr>
          <w:rFonts w:ascii="Arial" w:hAnsi="Arial" w:cs="Arial"/>
          <w:szCs w:val="28"/>
        </w:rPr>
        <w:t xml:space="preserve">La disposición final </w:t>
      </w:r>
      <w:r w:rsidR="000A14F4" w:rsidRPr="00ED133C">
        <w:rPr>
          <w:rFonts w:ascii="Arial" w:hAnsi="Arial" w:cs="Arial"/>
          <w:szCs w:val="28"/>
        </w:rPr>
        <w:t xml:space="preserve">tercera </w:t>
      </w:r>
      <w:r w:rsidRPr="00ED133C">
        <w:rPr>
          <w:rFonts w:ascii="Arial" w:hAnsi="Arial" w:cs="Arial"/>
          <w:szCs w:val="28"/>
        </w:rPr>
        <w:t xml:space="preserve">ordena la entrada en vigor de </w:t>
      </w:r>
      <w:r w:rsidR="000A14F4" w:rsidRPr="00ED133C">
        <w:rPr>
          <w:rFonts w:ascii="Arial" w:hAnsi="Arial" w:cs="Arial"/>
          <w:szCs w:val="28"/>
        </w:rPr>
        <w:t>este real decreto</w:t>
      </w:r>
      <w:r w:rsidRPr="00ED133C">
        <w:rPr>
          <w:rFonts w:ascii="Arial" w:hAnsi="Arial" w:cs="Arial"/>
          <w:szCs w:val="28"/>
        </w:rPr>
        <w:t xml:space="preserve"> el día siguiente al de su publicación en el BOE.</w:t>
      </w:r>
    </w:p>
    <w:p w14:paraId="647AF089" w14:textId="77777777" w:rsidR="00037E1F" w:rsidRPr="00ED133C" w:rsidRDefault="00037E1F" w:rsidP="00037E1F">
      <w:pPr>
        <w:spacing w:line="288" w:lineRule="auto"/>
        <w:rPr>
          <w:rFonts w:ascii="Arial" w:hAnsi="Arial" w:cs="Arial"/>
          <w:szCs w:val="28"/>
        </w:rPr>
      </w:pPr>
      <w:r w:rsidRPr="00ED133C">
        <w:rPr>
          <w:rFonts w:ascii="Arial" w:hAnsi="Arial" w:cs="Arial"/>
          <w:szCs w:val="28"/>
        </w:rPr>
        <w:t xml:space="preserve">A propósito de la entrada en vigor de las leyes cuya propuesta corresponda al Gobierno, el artículo 23 de la </w:t>
      </w:r>
      <w:r w:rsidR="00CD2D7B" w:rsidRPr="00ED133C">
        <w:rPr>
          <w:rFonts w:ascii="Arial" w:hAnsi="Arial" w:cs="Arial"/>
          <w:szCs w:val="28"/>
        </w:rPr>
        <w:t xml:space="preserve">Ley 50/1997, de 27 de noviembre </w:t>
      </w:r>
      <w:r w:rsidRPr="00ED133C">
        <w:rPr>
          <w:rFonts w:ascii="Arial" w:hAnsi="Arial" w:cs="Arial"/>
          <w:szCs w:val="28"/>
        </w:rPr>
        <w:t xml:space="preserve">establece que, sin perjuicio de lo establecido en el artículo 2.1 del Código Civil, cuando aquellas </w:t>
      </w:r>
      <w:r w:rsidRPr="00ED133C">
        <w:rPr>
          <w:rFonts w:ascii="Arial" w:hAnsi="Arial" w:cs="Arial"/>
          <w:i/>
          <w:szCs w:val="28"/>
        </w:rPr>
        <w:t>impongan nuevas obligaciones a las personas físicas o jurídicas que desempeñen una actividad económica o profesional como consecuencia del ejercicio de ésta, preverán el comienzo de su vigencia el 2 de enero o el 1 de julio siguientes a su aprobación</w:t>
      </w:r>
      <w:r w:rsidRPr="00ED133C">
        <w:rPr>
          <w:rFonts w:ascii="Arial" w:hAnsi="Arial" w:cs="Arial"/>
          <w:szCs w:val="28"/>
        </w:rPr>
        <w:t xml:space="preserve">, regla que, no obstante, </w:t>
      </w:r>
      <w:r w:rsidRPr="00ED133C">
        <w:rPr>
          <w:rFonts w:ascii="Arial" w:hAnsi="Arial" w:cs="Arial"/>
          <w:i/>
          <w:szCs w:val="28"/>
        </w:rPr>
        <w:t>no será de aplicación</w:t>
      </w:r>
      <w:r w:rsidR="00BD0C77" w:rsidRPr="00ED133C">
        <w:rPr>
          <w:rFonts w:ascii="Arial" w:hAnsi="Arial" w:cs="Arial"/>
          <w:i/>
          <w:szCs w:val="28"/>
        </w:rPr>
        <w:t xml:space="preserve"> </w:t>
      </w:r>
      <w:r w:rsidR="00BD0C77" w:rsidRPr="00ED133C">
        <w:rPr>
          <w:rFonts w:ascii="Arial" w:hAnsi="Arial" w:cs="Arial"/>
          <w:szCs w:val="28"/>
        </w:rPr>
        <w:t>(</w:t>
      </w:r>
      <w:r w:rsidRPr="00ED133C">
        <w:rPr>
          <w:rFonts w:ascii="Arial" w:hAnsi="Arial" w:cs="Arial"/>
          <w:szCs w:val="28"/>
        </w:rPr>
        <w:t>…</w:t>
      </w:r>
      <w:r w:rsidR="00BD0C77" w:rsidRPr="00ED133C">
        <w:rPr>
          <w:rFonts w:ascii="Arial" w:hAnsi="Arial" w:cs="Arial"/>
          <w:szCs w:val="28"/>
        </w:rPr>
        <w:t>)</w:t>
      </w:r>
      <w:r w:rsidRPr="00ED133C">
        <w:rPr>
          <w:rFonts w:ascii="Arial" w:hAnsi="Arial" w:cs="Arial"/>
          <w:i/>
          <w:szCs w:val="28"/>
        </w:rPr>
        <w:t xml:space="preserve"> cuando el cumplimiento del plazo de transposición de directivas europeas u otras razones justificadas así lo aconsejen, debiendo quedar este hecho debidamente acreditado en la respectiva Memoria</w:t>
      </w:r>
      <w:r w:rsidRPr="00ED133C">
        <w:rPr>
          <w:rFonts w:ascii="Arial" w:hAnsi="Arial" w:cs="Arial"/>
          <w:szCs w:val="28"/>
        </w:rPr>
        <w:t>.</w:t>
      </w:r>
    </w:p>
    <w:p w14:paraId="5B6A9355" w14:textId="4F651C69" w:rsidR="001852C6" w:rsidRPr="00ED133C" w:rsidRDefault="001852C6" w:rsidP="001852C6">
      <w:pPr>
        <w:spacing w:line="288" w:lineRule="auto"/>
        <w:rPr>
          <w:rFonts w:ascii="Arial" w:hAnsi="Arial" w:cs="Arial"/>
          <w:szCs w:val="28"/>
        </w:rPr>
      </w:pPr>
      <w:r w:rsidRPr="00ED133C">
        <w:rPr>
          <w:rFonts w:ascii="Arial" w:hAnsi="Arial" w:cs="Arial"/>
          <w:szCs w:val="28"/>
        </w:rPr>
        <w:t>E</w:t>
      </w:r>
      <w:r w:rsidR="00681D5E" w:rsidRPr="00ED133C">
        <w:rPr>
          <w:rFonts w:ascii="Arial" w:hAnsi="Arial" w:cs="Arial"/>
          <w:szCs w:val="28"/>
        </w:rPr>
        <w:t>n e</w:t>
      </w:r>
      <w:r w:rsidRPr="00ED133C">
        <w:rPr>
          <w:rFonts w:ascii="Arial" w:hAnsi="Arial" w:cs="Arial"/>
          <w:szCs w:val="28"/>
        </w:rPr>
        <w:t>l presente caso</w:t>
      </w:r>
      <w:r w:rsidR="00681D5E" w:rsidRPr="00ED133C">
        <w:rPr>
          <w:rFonts w:ascii="Arial" w:hAnsi="Arial" w:cs="Arial"/>
          <w:szCs w:val="28"/>
        </w:rPr>
        <w:t>,</w:t>
      </w:r>
      <w:r w:rsidRPr="00ED133C">
        <w:rPr>
          <w:rFonts w:ascii="Arial" w:hAnsi="Arial" w:cs="Arial"/>
          <w:szCs w:val="28"/>
        </w:rPr>
        <w:t xml:space="preserve"> la inmediatez de la entrada en vigor</w:t>
      </w:r>
      <w:r w:rsidR="00681D5E" w:rsidRPr="00ED133C">
        <w:rPr>
          <w:rFonts w:ascii="Arial" w:hAnsi="Arial" w:cs="Arial"/>
          <w:szCs w:val="28"/>
        </w:rPr>
        <w:t xml:space="preserve"> se</w:t>
      </w:r>
      <w:r w:rsidRPr="00ED133C">
        <w:rPr>
          <w:rFonts w:ascii="Arial" w:hAnsi="Arial" w:cs="Arial"/>
          <w:szCs w:val="28"/>
        </w:rPr>
        <w:t xml:space="preserve"> justifica porque mediante la norma se cumple el mandato de revisión anual previsto en el artículo 27 del Estatuto de los </w:t>
      </w:r>
      <w:r w:rsidR="00681D5E" w:rsidRPr="00ED133C">
        <w:rPr>
          <w:rFonts w:ascii="Arial" w:hAnsi="Arial" w:cs="Arial"/>
          <w:szCs w:val="28"/>
        </w:rPr>
        <w:t>T</w:t>
      </w:r>
      <w:r w:rsidRPr="00ED133C">
        <w:rPr>
          <w:rFonts w:ascii="Arial" w:hAnsi="Arial" w:cs="Arial"/>
          <w:szCs w:val="28"/>
        </w:rPr>
        <w:t>rabajadores</w:t>
      </w:r>
      <w:r w:rsidR="007774D8">
        <w:rPr>
          <w:rFonts w:ascii="Arial" w:hAnsi="Arial" w:cs="Arial"/>
          <w:szCs w:val="28"/>
        </w:rPr>
        <w:t>.</w:t>
      </w:r>
    </w:p>
    <w:p w14:paraId="22A2FC5F" w14:textId="74FFCB6C" w:rsidR="00997564" w:rsidRPr="00ED133C" w:rsidRDefault="001852C6" w:rsidP="001852C6">
      <w:pPr>
        <w:spacing w:line="288" w:lineRule="auto"/>
        <w:rPr>
          <w:rFonts w:ascii="Arial" w:hAnsi="Arial" w:cs="Arial"/>
          <w:szCs w:val="28"/>
        </w:rPr>
      </w:pPr>
      <w:r w:rsidRPr="00ED133C">
        <w:rPr>
          <w:rFonts w:ascii="Arial" w:hAnsi="Arial" w:cs="Arial"/>
          <w:szCs w:val="28"/>
        </w:rPr>
        <w:t>Por ello, y en virtud de lo establecido en el artículo 2.1 del Código Civil, se entiende</w:t>
      </w:r>
      <w:r w:rsidR="00C13D1B" w:rsidRPr="00ED133C">
        <w:rPr>
          <w:rFonts w:ascii="Arial" w:hAnsi="Arial" w:cs="Arial"/>
          <w:color w:val="FF0000"/>
          <w:szCs w:val="28"/>
        </w:rPr>
        <w:t xml:space="preserve"> </w:t>
      </w:r>
      <w:r w:rsidR="00C13D1B" w:rsidRPr="00ED133C">
        <w:rPr>
          <w:rFonts w:ascii="Arial" w:hAnsi="Arial" w:cs="Arial"/>
          <w:szCs w:val="28"/>
        </w:rPr>
        <w:t>que</w:t>
      </w:r>
      <w:r w:rsidRPr="00ED133C">
        <w:rPr>
          <w:rFonts w:ascii="Arial" w:hAnsi="Arial" w:cs="Arial"/>
          <w:szCs w:val="28"/>
        </w:rPr>
        <w:t xml:space="preserve"> </w:t>
      </w:r>
      <w:r w:rsidR="00522F93" w:rsidRPr="00ED133C">
        <w:rPr>
          <w:rFonts w:ascii="Arial" w:hAnsi="Arial" w:cs="Arial"/>
          <w:szCs w:val="28"/>
        </w:rPr>
        <w:t>j</w:t>
      </w:r>
      <w:r w:rsidRPr="00ED133C">
        <w:rPr>
          <w:rFonts w:ascii="Arial" w:hAnsi="Arial" w:cs="Arial"/>
          <w:szCs w:val="28"/>
        </w:rPr>
        <w:t>urídicamente no hay obstáculo a que se establezca una fecha concreta de entrada en vigor, que será el día siguiente al de su publicación en el Boletín Oficial del Estado</w:t>
      </w:r>
      <w:r w:rsidR="00BE7BF1" w:rsidRPr="00ED133C">
        <w:rPr>
          <w:rFonts w:ascii="Arial" w:hAnsi="Arial" w:cs="Arial"/>
          <w:szCs w:val="28"/>
        </w:rPr>
        <w:t xml:space="preserve">, sin perjuicio de que surtirá efectos durante el período comprendido entre el 1 </w:t>
      </w:r>
      <w:r w:rsidR="002B29CA" w:rsidRPr="00ED133C">
        <w:rPr>
          <w:rFonts w:ascii="Arial" w:hAnsi="Arial" w:cs="Arial"/>
          <w:szCs w:val="28"/>
        </w:rPr>
        <w:t xml:space="preserve">enero </w:t>
      </w:r>
      <w:r w:rsidR="00BE7BF1" w:rsidRPr="00ED133C">
        <w:rPr>
          <w:rFonts w:ascii="Arial" w:hAnsi="Arial" w:cs="Arial"/>
          <w:szCs w:val="28"/>
        </w:rPr>
        <w:t>y el 31 de diciembre de 202</w:t>
      </w:r>
      <w:r w:rsidR="002C3850">
        <w:rPr>
          <w:rFonts w:ascii="Arial" w:hAnsi="Arial" w:cs="Arial"/>
          <w:szCs w:val="28"/>
        </w:rPr>
        <w:t>4</w:t>
      </w:r>
      <w:r w:rsidR="00997564" w:rsidRPr="00ED133C">
        <w:rPr>
          <w:rFonts w:ascii="Arial" w:hAnsi="Arial" w:cs="Arial"/>
          <w:szCs w:val="28"/>
        </w:rPr>
        <w:t>.</w:t>
      </w:r>
    </w:p>
    <w:p w14:paraId="61B88FD7" w14:textId="1104B080" w:rsidR="00135C83" w:rsidRDefault="00135C83" w:rsidP="00235EB5">
      <w:pPr>
        <w:spacing w:line="288" w:lineRule="auto"/>
        <w:rPr>
          <w:rFonts w:ascii="Arial" w:hAnsi="Arial" w:cs="Arial"/>
          <w:b/>
          <w:szCs w:val="28"/>
        </w:rPr>
      </w:pPr>
    </w:p>
    <w:p w14:paraId="7BF3D50B" w14:textId="77777777" w:rsidR="00B61B24" w:rsidRPr="00ED133C" w:rsidRDefault="00B61B24" w:rsidP="00235EB5">
      <w:pPr>
        <w:spacing w:line="288" w:lineRule="auto"/>
        <w:rPr>
          <w:rFonts w:ascii="Arial" w:hAnsi="Arial" w:cs="Arial"/>
          <w:b/>
          <w:szCs w:val="28"/>
        </w:rPr>
      </w:pPr>
    </w:p>
    <w:p w14:paraId="00732851" w14:textId="77777777" w:rsidR="00235EB5" w:rsidRPr="00ED133C" w:rsidRDefault="00037E1F" w:rsidP="00235EB5">
      <w:pPr>
        <w:spacing w:line="288" w:lineRule="auto"/>
        <w:rPr>
          <w:rFonts w:ascii="Arial" w:hAnsi="Arial" w:cs="Arial"/>
          <w:b/>
          <w:szCs w:val="28"/>
          <w:u w:val="single"/>
        </w:rPr>
      </w:pPr>
      <w:r w:rsidRPr="00ED133C">
        <w:rPr>
          <w:rFonts w:ascii="Arial" w:hAnsi="Arial" w:cs="Arial"/>
          <w:b/>
          <w:szCs w:val="28"/>
        </w:rPr>
        <w:lastRenderedPageBreak/>
        <w:t xml:space="preserve">IV. </w:t>
      </w:r>
      <w:r w:rsidRPr="00ED133C">
        <w:rPr>
          <w:rFonts w:ascii="Arial" w:hAnsi="Arial" w:cs="Arial"/>
          <w:b/>
          <w:szCs w:val="28"/>
          <w:u w:val="single"/>
        </w:rPr>
        <w:t>ADECUACIÓN AL ORDEN CONSTITUCIONAL DE DISTRIBUCIÓN DE COMPETENCIAS EN LA MATERIA</w:t>
      </w:r>
    </w:p>
    <w:p w14:paraId="5F16F1C1" w14:textId="77777777" w:rsidR="00B61B24" w:rsidRDefault="00B61B24" w:rsidP="00235EB5">
      <w:pPr>
        <w:spacing w:line="288" w:lineRule="auto"/>
        <w:rPr>
          <w:rFonts w:ascii="Arial" w:hAnsi="Arial" w:cs="Arial"/>
          <w:szCs w:val="28"/>
        </w:rPr>
      </w:pPr>
    </w:p>
    <w:p w14:paraId="5CDE4C8B" w14:textId="54411030" w:rsidR="00235EB5" w:rsidRPr="00ED133C" w:rsidRDefault="00235EB5" w:rsidP="00235EB5">
      <w:pPr>
        <w:spacing w:line="288" w:lineRule="auto"/>
        <w:rPr>
          <w:rFonts w:ascii="Arial" w:hAnsi="Arial" w:cs="Arial"/>
          <w:szCs w:val="28"/>
        </w:rPr>
      </w:pPr>
      <w:r w:rsidRPr="00ED133C">
        <w:rPr>
          <w:rFonts w:ascii="Arial" w:hAnsi="Arial" w:cs="Arial"/>
          <w:szCs w:val="28"/>
        </w:rPr>
        <w:t>El título competencial a cuyo amparo se dicta esta norma es el artículo 149.</w:t>
      </w:r>
      <w:proofErr w:type="gramStart"/>
      <w:r w:rsidRPr="00ED133C">
        <w:rPr>
          <w:rFonts w:ascii="Arial" w:hAnsi="Arial" w:cs="Arial"/>
          <w:szCs w:val="28"/>
        </w:rPr>
        <w:t>1.7ª</w:t>
      </w:r>
      <w:proofErr w:type="gramEnd"/>
      <w:r w:rsidRPr="00ED133C">
        <w:rPr>
          <w:rFonts w:ascii="Arial" w:hAnsi="Arial" w:cs="Arial"/>
          <w:szCs w:val="28"/>
        </w:rPr>
        <w:t xml:space="preserve"> </w:t>
      </w:r>
      <w:r w:rsidR="001B08E5" w:rsidRPr="00ED133C">
        <w:rPr>
          <w:rFonts w:ascii="Arial" w:hAnsi="Arial" w:cs="Arial"/>
          <w:szCs w:val="28"/>
        </w:rPr>
        <w:t>de la Constitución Española</w:t>
      </w:r>
      <w:r w:rsidRPr="00ED133C">
        <w:rPr>
          <w:rFonts w:ascii="Arial" w:hAnsi="Arial" w:cs="Arial"/>
          <w:szCs w:val="28"/>
        </w:rPr>
        <w:t xml:space="preserve">, que atribuye competencia exclusiva al Estado en materia de legislación laboral, sin perjuicio de su ejecución por los órganos de las </w:t>
      </w:r>
      <w:r w:rsidR="001B08E5" w:rsidRPr="00ED133C">
        <w:rPr>
          <w:rFonts w:ascii="Arial" w:hAnsi="Arial" w:cs="Arial"/>
          <w:szCs w:val="28"/>
        </w:rPr>
        <w:t>c</w:t>
      </w:r>
      <w:r w:rsidRPr="00ED133C">
        <w:rPr>
          <w:rFonts w:ascii="Arial" w:hAnsi="Arial" w:cs="Arial"/>
          <w:szCs w:val="28"/>
        </w:rPr>
        <w:t xml:space="preserve">omunidades </w:t>
      </w:r>
      <w:r w:rsidR="001B08E5" w:rsidRPr="00ED133C">
        <w:rPr>
          <w:rFonts w:ascii="Arial" w:hAnsi="Arial" w:cs="Arial"/>
          <w:szCs w:val="28"/>
        </w:rPr>
        <w:t>a</w:t>
      </w:r>
      <w:r w:rsidRPr="00ED133C">
        <w:rPr>
          <w:rFonts w:ascii="Arial" w:hAnsi="Arial" w:cs="Arial"/>
          <w:szCs w:val="28"/>
        </w:rPr>
        <w:t>utónomas.</w:t>
      </w:r>
    </w:p>
    <w:p w14:paraId="572B5546" w14:textId="77777777" w:rsidR="00235EB5" w:rsidRPr="00ED133C" w:rsidRDefault="00235EB5" w:rsidP="00235EB5">
      <w:pPr>
        <w:spacing w:line="288" w:lineRule="auto"/>
        <w:rPr>
          <w:rFonts w:ascii="Arial" w:hAnsi="Arial" w:cs="Arial"/>
          <w:szCs w:val="28"/>
        </w:rPr>
      </w:pPr>
      <w:r w:rsidRPr="00ED133C">
        <w:rPr>
          <w:rFonts w:ascii="Arial" w:hAnsi="Arial" w:cs="Arial"/>
          <w:szCs w:val="28"/>
        </w:rPr>
        <w:t xml:space="preserve">La motivación de la elección del título competencial descansa en que la regulación de la cuantía del (SMI) se configura como una materia netamente laboral, al resultar un aspecto nuclear que configura el juego de derechos y obligaciones en que consiste la relación de trabajo por cuenta ajena. </w:t>
      </w:r>
    </w:p>
    <w:p w14:paraId="34734F7F" w14:textId="77777777" w:rsidR="00235EB5" w:rsidRPr="00ED133C" w:rsidRDefault="00235EB5" w:rsidP="00235EB5">
      <w:pPr>
        <w:spacing w:line="288" w:lineRule="auto"/>
        <w:rPr>
          <w:rFonts w:ascii="Arial" w:hAnsi="Arial" w:cs="Arial"/>
          <w:szCs w:val="28"/>
        </w:rPr>
      </w:pPr>
      <w:r w:rsidRPr="00ED133C">
        <w:rPr>
          <w:rFonts w:ascii="Arial" w:hAnsi="Arial" w:cs="Arial"/>
          <w:szCs w:val="28"/>
        </w:rPr>
        <w:t xml:space="preserve">Dada la exclusividad de la competencia estatal para la regulación de la materia objeto del presente proyecto normativo no ha habido en la misma participación de las </w:t>
      </w:r>
      <w:r w:rsidR="001B08E5" w:rsidRPr="00ED133C">
        <w:rPr>
          <w:rFonts w:ascii="Arial" w:hAnsi="Arial" w:cs="Arial"/>
          <w:szCs w:val="28"/>
        </w:rPr>
        <w:t>c</w:t>
      </w:r>
      <w:r w:rsidRPr="00ED133C">
        <w:rPr>
          <w:rFonts w:ascii="Arial" w:hAnsi="Arial" w:cs="Arial"/>
          <w:szCs w:val="28"/>
        </w:rPr>
        <w:t xml:space="preserve">omunidades </w:t>
      </w:r>
      <w:r w:rsidR="001B08E5" w:rsidRPr="00ED133C">
        <w:rPr>
          <w:rFonts w:ascii="Arial" w:hAnsi="Arial" w:cs="Arial"/>
          <w:szCs w:val="28"/>
        </w:rPr>
        <w:t>a</w:t>
      </w:r>
      <w:r w:rsidRPr="00ED133C">
        <w:rPr>
          <w:rFonts w:ascii="Arial" w:hAnsi="Arial" w:cs="Arial"/>
          <w:szCs w:val="28"/>
        </w:rPr>
        <w:t>utónomas.</w:t>
      </w:r>
    </w:p>
    <w:p w14:paraId="46BD98A6" w14:textId="77777777" w:rsidR="00235EB5" w:rsidRPr="00ED133C" w:rsidRDefault="00235EB5" w:rsidP="00235EB5">
      <w:pPr>
        <w:spacing w:line="288" w:lineRule="auto"/>
        <w:rPr>
          <w:rFonts w:ascii="Arial" w:hAnsi="Arial" w:cs="Arial"/>
          <w:szCs w:val="28"/>
        </w:rPr>
      </w:pPr>
      <w:r w:rsidRPr="00ED133C">
        <w:rPr>
          <w:rFonts w:ascii="Arial" w:hAnsi="Arial" w:cs="Arial"/>
          <w:szCs w:val="28"/>
        </w:rPr>
        <w:t xml:space="preserve">Respecto al concepto legislación en esta materia, el Tribunal Constitucional ha señalado que el término </w:t>
      </w:r>
      <w:r w:rsidRPr="00ED133C">
        <w:rPr>
          <w:rFonts w:ascii="Arial" w:hAnsi="Arial" w:cs="Arial"/>
          <w:i/>
          <w:szCs w:val="28"/>
        </w:rPr>
        <w:t>legislación</w:t>
      </w:r>
      <w:r w:rsidRPr="00ED133C">
        <w:rPr>
          <w:rFonts w:ascii="Arial" w:hAnsi="Arial" w:cs="Arial"/>
          <w:szCs w:val="28"/>
        </w:rPr>
        <w:t xml:space="preserve"> ha de ser entendido en sentido amplio o material, comprendiendo tanto las leyes formales como los reglamentos que las desarrollan (SSTC 33/1981, 18/1982, de 4 de mayo; 39/1982, de 30 de junio; 57/1982, de 27 de julio; 7/1985, de 25 de enero; 249/1988, de 20 de diciembre; 190/2002, de 17 de octubre; 30/2003, de 18 de diciembre). Sobre la </w:t>
      </w:r>
      <w:r w:rsidRPr="00ED133C">
        <w:rPr>
          <w:rFonts w:ascii="Arial" w:hAnsi="Arial" w:cs="Arial"/>
          <w:i/>
          <w:szCs w:val="28"/>
        </w:rPr>
        <w:t>materia laboral</w:t>
      </w:r>
      <w:r w:rsidRPr="00ED133C">
        <w:rPr>
          <w:rFonts w:ascii="Arial" w:hAnsi="Arial" w:cs="Arial"/>
          <w:szCs w:val="28"/>
        </w:rPr>
        <w:t xml:space="preserve"> reservada a la legislación estatal, ha indicado que no es la que se refiere genéricamente al mundo del trabajo, sino en un sentido concreto y restringido, la que </w:t>
      </w:r>
      <w:r w:rsidRPr="00ED133C">
        <w:rPr>
          <w:rFonts w:ascii="Arial" w:hAnsi="Arial" w:cs="Arial"/>
          <w:i/>
          <w:szCs w:val="28"/>
        </w:rPr>
        <w:t>regula directamente la relación laboral, es decir, […] la relación que media entre los trabajadores que presten servicios retribuidos por cuenta ajena y los empresarios en favor de los que y bajo la dirección de quienes se prestan estos servicios</w:t>
      </w:r>
      <w:r w:rsidRPr="00ED133C">
        <w:rPr>
          <w:rFonts w:ascii="Arial" w:hAnsi="Arial" w:cs="Arial"/>
          <w:szCs w:val="28"/>
        </w:rPr>
        <w:t xml:space="preserve"> (STC 35/1992, 360/1993). Por tanto, para el Tribunal Constitucional, legislación laboral la que regula el trabajo asalariado, cuyo estatuto jurídico propio surge de la existencia de un contrato de trabajo.</w:t>
      </w:r>
    </w:p>
    <w:p w14:paraId="7295E627" w14:textId="77777777" w:rsidR="00235EB5" w:rsidRPr="00ED133C" w:rsidRDefault="00235EB5" w:rsidP="00235EB5">
      <w:pPr>
        <w:spacing w:line="288" w:lineRule="auto"/>
        <w:rPr>
          <w:rFonts w:ascii="Arial" w:hAnsi="Arial" w:cs="Arial"/>
          <w:szCs w:val="28"/>
        </w:rPr>
      </w:pPr>
      <w:r w:rsidRPr="00ED133C">
        <w:rPr>
          <w:rFonts w:ascii="Arial" w:hAnsi="Arial" w:cs="Arial"/>
          <w:szCs w:val="28"/>
        </w:rPr>
        <w:t xml:space="preserve">En cuanto a la competencia de </w:t>
      </w:r>
      <w:r w:rsidRPr="00ED133C">
        <w:rPr>
          <w:rFonts w:ascii="Arial" w:hAnsi="Arial" w:cs="Arial"/>
          <w:i/>
          <w:szCs w:val="28"/>
        </w:rPr>
        <w:t>ejecución por los órganos de las Comunidades Autónomas</w:t>
      </w:r>
      <w:r w:rsidRPr="00ED133C">
        <w:rPr>
          <w:rFonts w:ascii="Arial" w:hAnsi="Arial" w:cs="Arial"/>
          <w:szCs w:val="28"/>
        </w:rPr>
        <w:t xml:space="preserve">, estas gozan, de acuerdo con esta doctrina del tribunal Constitucional, de potestad para promulgar disposiciones administrativas ad intra, que afecten a la </w:t>
      </w:r>
      <w:r w:rsidRPr="00ED133C">
        <w:rPr>
          <w:rFonts w:ascii="Arial" w:hAnsi="Arial" w:cs="Arial"/>
          <w:i/>
          <w:szCs w:val="28"/>
        </w:rPr>
        <w:t>organización de los servicios correspondientes en materia de su competencia</w:t>
      </w:r>
      <w:r w:rsidRPr="00ED133C">
        <w:rPr>
          <w:rFonts w:ascii="Arial" w:hAnsi="Arial" w:cs="Arial"/>
          <w:szCs w:val="28"/>
        </w:rPr>
        <w:t xml:space="preserve"> (SSTC 57/1982 y 360/1993, de 3 de diciembre). En consecuencia, tan solo pueden dictar las normas necesarias, para la ejecución </w:t>
      </w:r>
      <w:r w:rsidRPr="00ED133C">
        <w:rPr>
          <w:rFonts w:ascii="Arial" w:hAnsi="Arial" w:cs="Arial"/>
          <w:szCs w:val="28"/>
        </w:rPr>
        <w:lastRenderedPageBreak/>
        <w:t>regular de los servicios estatales que les sean transferidos, siempre que no alteren su régimen jurídico general, que es competencia del Estado.</w:t>
      </w:r>
    </w:p>
    <w:p w14:paraId="7BAB5BCD" w14:textId="77777777" w:rsidR="00975F16" w:rsidRPr="00ED133C" w:rsidRDefault="00975F16" w:rsidP="003D2D60">
      <w:pPr>
        <w:spacing w:line="288" w:lineRule="auto"/>
        <w:rPr>
          <w:rFonts w:ascii="Arial" w:hAnsi="Arial" w:cs="Arial"/>
          <w:b/>
          <w:szCs w:val="28"/>
        </w:rPr>
      </w:pPr>
    </w:p>
    <w:p w14:paraId="77EDCE91" w14:textId="77777777" w:rsidR="00037E1F" w:rsidRPr="00ED133C" w:rsidRDefault="00037E1F" w:rsidP="003D2D60">
      <w:pPr>
        <w:spacing w:line="288" w:lineRule="auto"/>
        <w:rPr>
          <w:rFonts w:ascii="Arial" w:hAnsi="Arial" w:cs="Arial"/>
          <w:b/>
          <w:szCs w:val="28"/>
        </w:rPr>
      </w:pPr>
      <w:r w:rsidRPr="00ED133C">
        <w:rPr>
          <w:rFonts w:ascii="Arial" w:hAnsi="Arial" w:cs="Arial"/>
          <w:b/>
          <w:szCs w:val="28"/>
        </w:rPr>
        <w:t xml:space="preserve">V. </w:t>
      </w:r>
      <w:r w:rsidR="00B873F0" w:rsidRPr="00ED133C">
        <w:rPr>
          <w:rFonts w:ascii="Arial" w:hAnsi="Arial" w:cs="Arial"/>
          <w:b/>
          <w:szCs w:val="28"/>
          <w:u w:val="single"/>
        </w:rPr>
        <w:t>DESCRIPCIÓN DE LA TRAMITACIÓN</w:t>
      </w:r>
    </w:p>
    <w:p w14:paraId="162739D2" w14:textId="77777777" w:rsidR="00B61B24" w:rsidRDefault="00B61B24" w:rsidP="003D2D60">
      <w:pPr>
        <w:spacing w:line="288" w:lineRule="auto"/>
        <w:rPr>
          <w:rFonts w:ascii="Arial" w:hAnsi="Arial" w:cs="Arial"/>
          <w:b/>
          <w:szCs w:val="28"/>
        </w:rPr>
      </w:pPr>
    </w:p>
    <w:p w14:paraId="791A7DB1" w14:textId="0E455DAC" w:rsidR="008C00C7" w:rsidRPr="00ED133C" w:rsidRDefault="00037E1F" w:rsidP="003D2D60">
      <w:pPr>
        <w:spacing w:line="288" w:lineRule="auto"/>
        <w:rPr>
          <w:rFonts w:ascii="Arial" w:hAnsi="Arial" w:cs="Arial"/>
          <w:b/>
          <w:szCs w:val="28"/>
        </w:rPr>
      </w:pPr>
      <w:r w:rsidRPr="00ED133C">
        <w:rPr>
          <w:rFonts w:ascii="Arial" w:hAnsi="Arial" w:cs="Arial"/>
          <w:b/>
          <w:szCs w:val="28"/>
        </w:rPr>
        <w:t>1.</w:t>
      </w:r>
      <w:r w:rsidR="008C00C7" w:rsidRPr="00ED133C">
        <w:rPr>
          <w:rFonts w:ascii="Arial" w:hAnsi="Arial" w:cs="Arial"/>
          <w:b/>
          <w:szCs w:val="28"/>
        </w:rPr>
        <w:t xml:space="preserve"> </w:t>
      </w:r>
      <w:r w:rsidR="000F398C" w:rsidRPr="00ED133C">
        <w:rPr>
          <w:rFonts w:ascii="Arial" w:hAnsi="Arial" w:cs="Arial"/>
          <w:b/>
          <w:szCs w:val="28"/>
        </w:rPr>
        <w:t>Consulta, a</w:t>
      </w:r>
      <w:r w:rsidR="008C00C7" w:rsidRPr="00ED133C">
        <w:rPr>
          <w:rFonts w:ascii="Arial" w:hAnsi="Arial" w:cs="Arial"/>
          <w:b/>
          <w:szCs w:val="28"/>
        </w:rPr>
        <w:t>udiencia e información pública</w:t>
      </w:r>
    </w:p>
    <w:p w14:paraId="0854FA99" w14:textId="13ECC202" w:rsidR="00AB2870" w:rsidRPr="00ED133C" w:rsidRDefault="00AB2870" w:rsidP="00AB2870">
      <w:pPr>
        <w:spacing w:line="288" w:lineRule="auto"/>
        <w:rPr>
          <w:rFonts w:ascii="Arial" w:hAnsi="Arial" w:cs="Arial"/>
          <w:szCs w:val="28"/>
        </w:rPr>
      </w:pPr>
      <w:r w:rsidRPr="00ED133C">
        <w:rPr>
          <w:rFonts w:ascii="Arial" w:hAnsi="Arial" w:cs="Arial"/>
          <w:szCs w:val="28"/>
        </w:rPr>
        <w:t xml:space="preserve">1.1. El artículo 26.2 de la Ley 50/1997, de 27 de noviembre, tras la modificación llevada a cabo por la Ley 40/2015, de 1 de octubre, de Régimen Jurídico del Sector Público, exige que, con carácter previo a la elaboración de un texto, se sustancie una </w:t>
      </w:r>
      <w:r w:rsidRPr="007C5E61">
        <w:rPr>
          <w:rFonts w:ascii="Arial" w:hAnsi="Arial" w:cs="Arial"/>
          <w:szCs w:val="28"/>
          <w:u w:val="single"/>
        </w:rPr>
        <w:t>consulta pública</w:t>
      </w:r>
      <w:r w:rsidR="007C5E61">
        <w:rPr>
          <w:rFonts w:ascii="Arial" w:hAnsi="Arial" w:cs="Arial"/>
          <w:szCs w:val="28"/>
        </w:rPr>
        <w:t>,</w:t>
      </w:r>
      <w:r w:rsidRPr="00ED133C">
        <w:rPr>
          <w:rFonts w:ascii="Arial" w:hAnsi="Arial" w:cs="Arial"/>
          <w:szCs w:val="28"/>
        </w:rPr>
        <w:t xml:space="preserve"> a través del portal web del departamento competente, en la que se recabe la opinión de los sujetos potencialmente afectados por la futura norma y de las organizaciones más representativas acerca de los problemas que se pretenden solucionar con la iniciativa, la necesidad y oportunidad de su aprobación, los objetivos de la norma y las posibles soluciones alternativas regulatorias y no regulatorias. No obstante, dicho artículo establece que puede prescindirse de dicho trámite de consulta pública, entre otros motivos, cuando la </w:t>
      </w:r>
      <w:r w:rsidRPr="00ED133C">
        <w:rPr>
          <w:rFonts w:ascii="Arial" w:hAnsi="Arial" w:cs="Arial"/>
          <w:b/>
          <w:szCs w:val="28"/>
        </w:rPr>
        <w:t>norma regule aspectos parciales de una materia</w:t>
      </w:r>
      <w:r w:rsidRPr="00ED133C">
        <w:rPr>
          <w:rFonts w:ascii="Arial" w:hAnsi="Arial" w:cs="Arial"/>
          <w:szCs w:val="28"/>
        </w:rPr>
        <w:t>, debiendo motivarse en la Memoria del Análisis de Impacto Normativo.</w:t>
      </w:r>
    </w:p>
    <w:p w14:paraId="3F1E6678" w14:textId="77777777" w:rsidR="00B80775" w:rsidRPr="00ED133C" w:rsidRDefault="00B80775" w:rsidP="00112C63">
      <w:pPr>
        <w:spacing w:line="288" w:lineRule="auto"/>
        <w:rPr>
          <w:rFonts w:ascii="Arial" w:hAnsi="Arial" w:cs="Arial"/>
          <w:szCs w:val="28"/>
        </w:rPr>
      </w:pPr>
      <w:r w:rsidRPr="00ED133C">
        <w:rPr>
          <w:rFonts w:ascii="Arial" w:hAnsi="Arial" w:cs="Arial"/>
          <w:szCs w:val="28"/>
        </w:rPr>
        <w:t xml:space="preserve">Teniendo en cuenta que el real decreto por el que se fija la cuantía del SMI cada año, que se dicta al amparo de lo previsto en el artículo 27.1 del Estatuto de los Trabajadores, no contiene una regulación completa de la materia, es decir, del salario en general o del SMI en particular </w:t>
      </w:r>
      <w:r w:rsidR="00915CB5" w:rsidRPr="00ED133C">
        <w:rPr>
          <w:rFonts w:ascii="Arial" w:hAnsi="Arial" w:cs="Arial"/>
          <w:szCs w:val="28"/>
        </w:rPr>
        <w:t>—</w:t>
      </w:r>
      <w:r w:rsidRPr="00ED133C">
        <w:rPr>
          <w:rFonts w:ascii="Arial" w:hAnsi="Arial" w:cs="Arial"/>
          <w:szCs w:val="28"/>
        </w:rPr>
        <w:t>ya que la regulación básica de este está incluida en la norma de rango legal</w:t>
      </w:r>
      <w:r w:rsidR="00915CB5" w:rsidRPr="00ED133C">
        <w:rPr>
          <w:rFonts w:ascii="Arial" w:hAnsi="Arial" w:cs="Arial"/>
          <w:szCs w:val="28"/>
        </w:rPr>
        <w:t>—</w:t>
      </w:r>
      <w:r w:rsidRPr="00ED133C">
        <w:rPr>
          <w:rFonts w:ascii="Arial" w:hAnsi="Arial" w:cs="Arial"/>
          <w:szCs w:val="28"/>
        </w:rPr>
        <w:t>, cabe considerar que estamos ante una regulación parcial de una materia, lo que justifica la posibilidad de prescindir de dicho trámite de consulta pública previa.</w:t>
      </w:r>
    </w:p>
    <w:p w14:paraId="0C4DEDDA" w14:textId="1AC09454" w:rsidR="004D6CD8" w:rsidRPr="00ED133C" w:rsidRDefault="008C00C7" w:rsidP="003D2D60">
      <w:pPr>
        <w:spacing w:line="288" w:lineRule="auto"/>
        <w:rPr>
          <w:rFonts w:ascii="Arial" w:hAnsi="Arial" w:cs="Arial"/>
          <w:szCs w:val="28"/>
        </w:rPr>
      </w:pPr>
      <w:r w:rsidRPr="00ED133C">
        <w:rPr>
          <w:rFonts w:ascii="Arial" w:hAnsi="Arial" w:cs="Arial"/>
          <w:szCs w:val="28"/>
        </w:rPr>
        <w:t>1.</w:t>
      </w:r>
      <w:r w:rsidR="000F398C" w:rsidRPr="00ED133C">
        <w:rPr>
          <w:rFonts w:ascii="Arial" w:hAnsi="Arial" w:cs="Arial"/>
          <w:szCs w:val="28"/>
        </w:rPr>
        <w:t>2.</w:t>
      </w:r>
      <w:r w:rsidRPr="00ED133C">
        <w:rPr>
          <w:rFonts w:ascii="Arial" w:hAnsi="Arial" w:cs="Arial"/>
          <w:szCs w:val="28"/>
        </w:rPr>
        <w:t xml:space="preserve"> </w:t>
      </w:r>
      <w:r w:rsidR="004D6CD8" w:rsidRPr="00DA1529">
        <w:rPr>
          <w:rFonts w:ascii="Arial" w:hAnsi="Arial" w:cs="Arial"/>
          <w:szCs w:val="28"/>
        </w:rPr>
        <w:t>En cumplimiento de lo dispuesto en el art</w:t>
      </w:r>
      <w:r w:rsidR="00280627" w:rsidRPr="00DA1529">
        <w:rPr>
          <w:rFonts w:ascii="Arial" w:hAnsi="Arial" w:cs="Arial"/>
          <w:szCs w:val="28"/>
        </w:rPr>
        <w:t>ículo 26</w:t>
      </w:r>
      <w:r w:rsidR="003732BB" w:rsidRPr="00DA1529">
        <w:rPr>
          <w:rFonts w:ascii="Arial" w:hAnsi="Arial" w:cs="Arial"/>
          <w:szCs w:val="28"/>
        </w:rPr>
        <w:t>.6</w:t>
      </w:r>
      <w:r w:rsidR="00280627" w:rsidRPr="00DA1529">
        <w:rPr>
          <w:rFonts w:ascii="Arial" w:hAnsi="Arial" w:cs="Arial"/>
          <w:szCs w:val="28"/>
        </w:rPr>
        <w:t xml:space="preserve"> de </w:t>
      </w:r>
      <w:r w:rsidR="004D6CD8" w:rsidRPr="00DA1529">
        <w:rPr>
          <w:rFonts w:ascii="Arial" w:hAnsi="Arial" w:cs="Arial"/>
          <w:szCs w:val="28"/>
        </w:rPr>
        <w:t>la Ley 50/1997</w:t>
      </w:r>
      <w:r w:rsidR="00280627" w:rsidRPr="00DA1529">
        <w:rPr>
          <w:rFonts w:ascii="Arial" w:hAnsi="Arial" w:cs="Arial"/>
          <w:szCs w:val="28"/>
        </w:rPr>
        <w:t xml:space="preserve">, de 27 de noviembre, </w:t>
      </w:r>
      <w:r w:rsidR="00784BD5" w:rsidRPr="00DA1529">
        <w:rPr>
          <w:rFonts w:ascii="Arial" w:hAnsi="Arial" w:cs="Arial"/>
          <w:szCs w:val="28"/>
        </w:rPr>
        <w:t xml:space="preserve">el </w:t>
      </w:r>
      <w:r w:rsidR="00E77799" w:rsidRPr="00DA1529">
        <w:rPr>
          <w:rFonts w:ascii="Arial" w:hAnsi="Arial" w:cs="Arial"/>
          <w:szCs w:val="28"/>
        </w:rPr>
        <w:t xml:space="preserve">texto del </w:t>
      </w:r>
      <w:r w:rsidR="004B4B7B" w:rsidRPr="00DA1529">
        <w:rPr>
          <w:rFonts w:ascii="Arial" w:hAnsi="Arial" w:cs="Arial"/>
          <w:szCs w:val="28"/>
        </w:rPr>
        <w:t>proyecto ha</w:t>
      </w:r>
      <w:r w:rsidR="003A0118" w:rsidRPr="00DA1529">
        <w:rPr>
          <w:rFonts w:ascii="Arial" w:hAnsi="Arial" w:cs="Arial"/>
          <w:szCs w:val="28"/>
        </w:rPr>
        <w:t xml:space="preserve"> sido </w:t>
      </w:r>
      <w:r w:rsidR="00C21D56" w:rsidRPr="00DA1529">
        <w:rPr>
          <w:rFonts w:ascii="Arial" w:hAnsi="Arial" w:cs="Arial"/>
          <w:szCs w:val="28"/>
        </w:rPr>
        <w:t xml:space="preserve">objeto de publicación </w:t>
      </w:r>
      <w:r w:rsidR="00E77799" w:rsidRPr="00DA1529">
        <w:rPr>
          <w:rFonts w:ascii="Arial" w:hAnsi="Arial" w:cs="Arial"/>
          <w:szCs w:val="28"/>
        </w:rPr>
        <w:t xml:space="preserve">en el portal web del Ministerio de </w:t>
      </w:r>
      <w:r w:rsidR="007D1E51" w:rsidRPr="00DA1529">
        <w:rPr>
          <w:rFonts w:ascii="Arial" w:hAnsi="Arial" w:cs="Arial"/>
          <w:szCs w:val="28"/>
        </w:rPr>
        <w:t xml:space="preserve">Trabajo y </w:t>
      </w:r>
      <w:r w:rsidR="004B4B7B" w:rsidRPr="00DA1529">
        <w:rPr>
          <w:rFonts w:ascii="Arial" w:hAnsi="Arial" w:cs="Arial"/>
          <w:szCs w:val="28"/>
        </w:rPr>
        <w:t>Economía</w:t>
      </w:r>
      <w:r w:rsidR="007D1E51" w:rsidRPr="00DA1529">
        <w:rPr>
          <w:rFonts w:ascii="Arial" w:hAnsi="Arial" w:cs="Arial"/>
          <w:szCs w:val="28"/>
        </w:rPr>
        <w:t xml:space="preserve"> Social</w:t>
      </w:r>
      <w:r w:rsidR="00E77799" w:rsidRPr="00DA1529">
        <w:rPr>
          <w:rFonts w:ascii="Arial" w:hAnsi="Arial" w:cs="Arial"/>
          <w:szCs w:val="28"/>
        </w:rPr>
        <w:t xml:space="preserve">, a efectos de </w:t>
      </w:r>
      <w:r w:rsidR="00E77799" w:rsidRPr="007C5E61">
        <w:rPr>
          <w:rFonts w:ascii="Arial" w:hAnsi="Arial" w:cs="Arial"/>
          <w:szCs w:val="28"/>
          <w:u w:val="single"/>
        </w:rPr>
        <w:t>audiencia</w:t>
      </w:r>
      <w:r w:rsidR="007C5E61" w:rsidRPr="007C5E61">
        <w:rPr>
          <w:rFonts w:ascii="Arial" w:hAnsi="Arial" w:cs="Arial"/>
          <w:szCs w:val="28"/>
          <w:u w:val="single"/>
        </w:rPr>
        <w:t xml:space="preserve"> e información</w:t>
      </w:r>
      <w:r w:rsidR="00E77799" w:rsidRPr="007C5E61">
        <w:rPr>
          <w:rFonts w:ascii="Arial" w:hAnsi="Arial" w:cs="Arial"/>
          <w:szCs w:val="28"/>
          <w:u w:val="single"/>
        </w:rPr>
        <w:t xml:space="preserve"> pública</w:t>
      </w:r>
      <w:r w:rsidR="007C5E61" w:rsidRPr="007C5E61">
        <w:rPr>
          <w:rFonts w:ascii="Arial" w:hAnsi="Arial" w:cs="Arial"/>
          <w:szCs w:val="28"/>
          <w:u w:val="single"/>
        </w:rPr>
        <w:t>s</w:t>
      </w:r>
      <w:r w:rsidR="00BD0C77" w:rsidRPr="00DA1529">
        <w:rPr>
          <w:rFonts w:ascii="Arial" w:hAnsi="Arial" w:cs="Arial"/>
          <w:szCs w:val="28"/>
        </w:rPr>
        <w:t>,</w:t>
      </w:r>
      <w:r w:rsidR="00E50EDA" w:rsidRPr="00DA1529">
        <w:rPr>
          <w:rFonts w:ascii="Arial" w:hAnsi="Arial" w:cs="Arial"/>
          <w:szCs w:val="28"/>
        </w:rPr>
        <w:t xml:space="preserve"> </w:t>
      </w:r>
      <w:r w:rsidR="007C5E61">
        <w:rPr>
          <w:rFonts w:ascii="Arial" w:hAnsi="Arial" w:cs="Arial"/>
          <w:szCs w:val="28"/>
        </w:rPr>
        <w:t xml:space="preserve">entre el </w:t>
      </w:r>
      <w:r w:rsidR="000040A0">
        <w:rPr>
          <w:rFonts w:ascii="Arial" w:hAnsi="Arial" w:cs="Arial"/>
          <w:szCs w:val="28"/>
        </w:rPr>
        <w:t xml:space="preserve">15 de enero </w:t>
      </w:r>
      <w:r w:rsidR="007C5E61" w:rsidRPr="000040A0">
        <w:rPr>
          <w:rFonts w:ascii="Arial" w:hAnsi="Arial" w:cs="Arial"/>
          <w:szCs w:val="28"/>
        </w:rPr>
        <w:t xml:space="preserve">y el </w:t>
      </w:r>
      <w:r w:rsidR="000040A0">
        <w:rPr>
          <w:rFonts w:ascii="Arial" w:hAnsi="Arial" w:cs="Arial"/>
          <w:szCs w:val="28"/>
        </w:rPr>
        <w:t>23 de enero</w:t>
      </w:r>
      <w:r w:rsidR="007C5E61" w:rsidRPr="000040A0">
        <w:rPr>
          <w:rFonts w:ascii="Arial" w:hAnsi="Arial" w:cs="Arial"/>
          <w:szCs w:val="28"/>
        </w:rPr>
        <w:t xml:space="preserve"> de 202</w:t>
      </w:r>
      <w:r w:rsidR="000040A0">
        <w:rPr>
          <w:rFonts w:ascii="Arial" w:hAnsi="Arial" w:cs="Arial"/>
          <w:szCs w:val="28"/>
        </w:rPr>
        <w:t>4</w:t>
      </w:r>
      <w:r w:rsidR="00E64E0A" w:rsidRPr="000040A0">
        <w:rPr>
          <w:rFonts w:ascii="Arial" w:hAnsi="Arial" w:cs="Arial"/>
          <w:szCs w:val="28"/>
        </w:rPr>
        <w:t>.</w:t>
      </w:r>
    </w:p>
    <w:p w14:paraId="248ECD00" w14:textId="77777777" w:rsidR="007C5E61" w:rsidRDefault="00AB2870" w:rsidP="00F64B04">
      <w:pPr>
        <w:spacing w:line="288" w:lineRule="auto"/>
        <w:rPr>
          <w:rFonts w:ascii="Arial" w:hAnsi="Arial" w:cs="Arial"/>
          <w:szCs w:val="28"/>
        </w:rPr>
      </w:pPr>
      <w:r w:rsidRPr="00ED133C">
        <w:rPr>
          <w:rFonts w:ascii="Arial" w:hAnsi="Arial" w:cs="Arial"/>
          <w:szCs w:val="28"/>
        </w:rPr>
        <w:t>E</w:t>
      </w:r>
      <w:r w:rsidR="00F64B04" w:rsidRPr="00ED133C">
        <w:rPr>
          <w:rFonts w:ascii="Arial" w:hAnsi="Arial" w:cs="Arial"/>
          <w:szCs w:val="28"/>
        </w:rPr>
        <w:t xml:space="preserve">l artículo 26.6 </w:t>
      </w:r>
      <w:r w:rsidR="00C3749F" w:rsidRPr="00ED133C">
        <w:rPr>
          <w:rFonts w:ascii="Arial" w:hAnsi="Arial" w:cs="Arial"/>
          <w:szCs w:val="28"/>
        </w:rPr>
        <w:t>de la Ley 50/1997</w:t>
      </w:r>
      <w:r w:rsidR="00681D5E" w:rsidRPr="00ED133C">
        <w:rPr>
          <w:rFonts w:ascii="Arial" w:hAnsi="Arial" w:cs="Arial"/>
          <w:szCs w:val="28"/>
        </w:rPr>
        <w:t>, de 27 de noviembre,</w:t>
      </w:r>
      <w:r w:rsidR="00C3749F" w:rsidRPr="00ED133C">
        <w:rPr>
          <w:rFonts w:ascii="Arial" w:hAnsi="Arial" w:cs="Arial"/>
          <w:szCs w:val="28"/>
        </w:rPr>
        <w:t xml:space="preserve"> </w:t>
      </w:r>
      <w:r w:rsidR="00F64B04" w:rsidRPr="00ED133C">
        <w:rPr>
          <w:rFonts w:ascii="Arial" w:hAnsi="Arial" w:cs="Arial"/>
          <w:szCs w:val="28"/>
        </w:rPr>
        <w:t xml:space="preserve">establece que cuando la norma afecte a los derechos e intereses legítimos de las personas, el centro directivo competente publicará el texto en el portal web correspondiente, con el objeto de dar audiencia a los ciudadanos afectados y obtener cuantas </w:t>
      </w:r>
      <w:r w:rsidR="00F64B04" w:rsidRPr="00ED133C">
        <w:rPr>
          <w:rFonts w:ascii="Arial" w:hAnsi="Arial" w:cs="Arial"/>
          <w:szCs w:val="28"/>
        </w:rPr>
        <w:lastRenderedPageBreak/>
        <w:t xml:space="preserve">aportaciones adicionales puedan hacerse por otras personas o entidades. Asimismo, podrá recabarse directamente la opinión de las organizaciones o asociaciones reconocidas por ley que agrupen o representen a las personas cuyos derechos o intereses legítimos se vieren afectados por la norma y cuyos fines guarden relación directa con su objeto. </w:t>
      </w:r>
    </w:p>
    <w:p w14:paraId="24AA7906" w14:textId="01B3A595" w:rsidR="00975345" w:rsidRPr="00ED133C" w:rsidRDefault="007C5E61" w:rsidP="00F64B04">
      <w:pPr>
        <w:spacing w:line="288" w:lineRule="auto"/>
        <w:rPr>
          <w:rFonts w:ascii="Arial" w:hAnsi="Arial" w:cs="Arial"/>
          <w:szCs w:val="28"/>
        </w:rPr>
      </w:pPr>
      <w:r>
        <w:rPr>
          <w:rFonts w:ascii="Arial" w:hAnsi="Arial" w:cs="Arial"/>
          <w:szCs w:val="28"/>
        </w:rPr>
        <w:t>Adicionalmente, e</w:t>
      </w:r>
      <w:r w:rsidR="00975345" w:rsidRPr="00ED133C">
        <w:rPr>
          <w:rFonts w:ascii="Arial" w:hAnsi="Arial" w:cs="Arial"/>
          <w:szCs w:val="28"/>
        </w:rPr>
        <w:t>l artículo 27.1</w:t>
      </w:r>
      <w:r w:rsidR="00CD2D7B" w:rsidRPr="00ED133C">
        <w:rPr>
          <w:rFonts w:ascii="Arial" w:hAnsi="Arial" w:cs="Arial"/>
          <w:szCs w:val="28"/>
        </w:rPr>
        <w:t xml:space="preserve"> del Estatuto de los Trabajadores </w:t>
      </w:r>
      <w:r w:rsidR="00975345" w:rsidRPr="00ED133C">
        <w:rPr>
          <w:rFonts w:ascii="Arial" w:hAnsi="Arial" w:cs="Arial"/>
          <w:szCs w:val="28"/>
        </w:rPr>
        <w:t xml:space="preserve">prevé, asimismo, que el Gobierno fijará, </w:t>
      </w:r>
      <w:r w:rsidR="00975345" w:rsidRPr="007C5E61">
        <w:rPr>
          <w:rFonts w:ascii="Arial" w:hAnsi="Arial" w:cs="Arial"/>
          <w:szCs w:val="28"/>
          <w:u w:val="single"/>
        </w:rPr>
        <w:t>previa consulta con las organizaciones sindicales y asociaciones empresariales más representativas</w:t>
      </w:r>
      <w:r w:rsidR="00433B08" w:rsidRPr="00ED133C">
        <w:rPr>
          <w:rFonts w:ascii="Arial" w:hAnsi="Arial" w:cs="Arial"/>
          <w:szCs w:val="28"/>
        </w:rPr>
        <w:t>,</w:t>
      </w:r>
      <w:r w:rsidR="003A0118" w:rsidRPr="00ED133C">
        <w:rPr>
          <w:rFonts w:ascii="Arial" w:hAnsi="Arial" w:cs="Arial"/>
          <w:szCs w:val="28"/>
        </w:rPr>
        <w:t xml:space="preserve"> el salario mínimo interprofesional</w:t>
      </w:r>
      <w:r w:rsidR="00975345" w:rsidRPr="00ED133C">
        <w:rPr>
          <w:rFonts w:ascii="Arial" w:hAnsi="Arial" w:cs="Arial"/>
          <w:szCs w:val="28"/>
        </w:rPr>
        <w:t>.</w:t>
      </w:r>
    </w:p>
    <w:p w14:paraId="3AF190D4" w14:textId="43E2F8BA" w:rsidR="001310DC" w:rsidRPr="00ED133C" w:rsidRDefault="001310DC" w:rsidP="00F64B04">
      <w:pPr>
        <w:spacing w:line="288" w:lineRule="auto"/>
        <w:rPr>
          <w:rFonts w:ascii="Arial" w:hAnsi="Arial" w:cs="Arial"/>
          <w:szCs w:val="28"/>
        </w:rPr>
      </w:pPr>
      <w:r w:rsidRPr="00ED133C">
        <w:rPr>
          <w:rFonts w:ascii="Arial" w:hAnsi="Arial" w:cs="Arial"/>
          <w:szCs w:val="28"/>
        </w:rPr>
        <w:t>Por su parte el propio artículo 26.6 de la Ley 50/1997, de 27 de noviembre señala que</w:t>
      </w:r>
      <w:r w:rsidR="00C365E4" w:rsidRPr="00ED133C">
        <w:rPr>
          <w:rFonts w:ascii="Arial" w:hAnsi="Arial" w:cs="Arial"/>
          <w:szCs w:val="28"/>
        </w:rPr>
        <w:t xml:space="preserve"> </w:t>
      </w:r>
      <w:r w:rsidRPr="00ED133C">
        <w:rPr>
          <w:rFonts w:ascii="Arial" w:hAnsi="Arial" w:cs="Arial"/>
          <w:szCs w:val="28"/>
        </w:rPr>
        <w:t>el plazo mínimo de esta audiencia e información públicas será de 15 días hábiles, y podrá ser reducido hasta un mínimo de siete días hábiles cuando razones debidamente motivadas así lo justifiquen y que lo anterior debe quedar debidamente reflejado en la memoria.</w:t>
      </w:r>
    </w:p>
    <w:p w14:paraId="604DF0F3" w14:textId="4A91AC77" w:rsidR="00D9006A" w:rsidRPr="00DA1529" w:rsidRDefault="001310DC" w:rsidP="00E736D9">
      <w:pPr>
        <w:spacing w:line="288" w:lineRule="auto"/>
        <w:rPr>
          <w:rFonts w:ascii="Arial" w:hAnsi="Arial" w:cs="Arial"/>
          <w:szCs w:val="28"/>
        </w:rPr>
      </w:pPr>
      <w:r w:rsidRPr="00DA1529">
        <w:rPr>
          <w:rFonts w:ascii="Arial" w:hAnsi="Arial" w:cs="Arial"/>
          <w:szCs w:val="28"/>
        </w:rPr>
        <w:t>Pues bien</w:t>
      </w:r>
      <w:r w:rsidR="00522F93" w:rsidRPr="00DA1529">
        <w:rPr>
          <w:rFonts w:ascii="Arial" w:hAnsi="Arial" w:cs="Arial"/>
          <w:szCs w:val="28"/>
        </w:rPr>
        <w:t>,</w:t>
      </w:r>
      <w:r w:rsidRPr="00DA1529">
        <w:rPr>
          <w:rFonts w:ascii="Arial" w:hAnsi="Arial" w:cs="Arial"/>
          <w:szCs w:val="28"/>
        </w:rPr>
        <w:t xml:space="preserve"> dichas razones </w:t>
      </w:r>
      <w:r w:rsidR="00D9006A" w:rsidRPr="00DA1529">
        <w:rPr>
          <w:rFonts w:ascii="Arial" w:hAnsi="Arial" w:cs="Arial"/>
          <w:szCs w:val="28"/>
        </w:rPr>
        <w:t xml:space="preserve">están relacionadas con tres circunstancias: la transcendencia de la materia que se regula, el cumplimiento del mandato dado al Gobierno para que fije la citada cuantía conforme al artículo 27.1 </w:t>
      </w:r>
      <w:r w:rsidR="008441C2" w:rsidRPr="00DA1529">
        <w:rPr>
          <w:rFonts w:ascii="Arial" w:hAnsi="Arial" w:cs="Arial"/>
          <w:szCs w:val="28"/>
        </w:rPr>
        <w:t>del Estatuto de los Trabajadores</w:t>
      </w:r>
      <w:r w:rsidR="00D9006A" w:rsidRPr="00DA1529">
        <w:rPr>
          <w:rFonts w:ascii="Arial" w:hAnsi="Arial" w:cs="Arial"/>
          <w:szCs w:val="28"/>
        </w:rPr>
        <w:t xml:space="preserve"> </w:t>
      </w:r>
      <w:r w:rsidR="00CA4614" w:rsidRPr="00DA1529">
        <w:rPr>
          <w:rFonts w:ascii="Arial" w:hAnsi="Arial" w:cs="Arial"/>
          <w:szCs w:val="28"/>
        </w:rPr>
        <w:t xml:space="preserve">y </w:t>
      </w:r>
      <w:r w:rsidR="00D9006A" w:rsidRPr="00DA1529">
        <w:rPr>
          <w:rFonts w:ascii="Arial" w:hAnsi="Arial" w:cs="Arial"/>
          <w:szCs w:val="28"/>
        </w:rPr>
        <w:t xml:space="preserve">la necesidad urgente de que quede resuelta la situación de transitoriedad en que quedó este mandato, </w:t>
      </w:r>
      <w:r w:rsidR="00BA2C01" w:rsidRPr="00DA1529">
        <w:rPr>
          <w:rFonts w:ascii="Arial" w:hAnsi="Arial" w:cs="Arial"/>
          <w:szCs w:val="28"/>
        </w:rPr>
        <w:t xml:space="preserve">tras la </w:t>
      </w:r>
      <w:r w:rsidR="00BA2C01" w:rsidRPr="000040A0">
        <w:rPr>
          <w:rFonts w:ascii="Arial" w:hAnsi="Arial" w:cs="Arial"/>
          <w:szCs w:val="28"/>
        </w:rPr>
        <w:t>aprobación de</w:t>
      </w:r>
      <w:r w:rsidR="007C5E61" w:rsidRPr="000040A0">
        <w:rPr>
          <w:rFonts w:ascii="Arial" w:hAnsi="Arial" w:cs="Arial"/>
          <w:szCs w:val="28"/>
        </w:rPr>
        <w:t xml:space="preserve"> la prórroga del SMI de 2023 a través del</w:t>
      </w:r>
      <w:r w:rsidR="00BA2C01" w:rsidRPr="000040A0">
        <w:rPr>
          <w:rFonts w:ascii="Arial" w:hAnsi="Arial" w:cs="Arial"/>
          <w:szCs w:val="28"/>
        </w:rPr>
        <w:t xml:space="preserve"> </w:t>
      </w:r>
      <w:r w:rsidR="00E736D9" w:rsidRPr="000040A0">
        <w:t xml:space="preserve"> </w:t>
      </w:r>
      <w:r w:rsidR="00E736D9" w:rsidRPr="000040A0">
        <w:rPr>
          <w:rFonts w:ascii="Arial" w:hAnsi="Arial" w:cs="Arial"/>
          <w:szCs w:val="28"/>
        </w:rPr>
        <w:t>Real Decreto-ley 8/2023, de 27 de diciembre, por el que se adoptan medidas para afrontar las consecuencias económicas y sociales derivadas de los conflictos en Ucrania y Oriente Próximo, así como para paliar los efectos de la sequía</w:t>
      </w:r>
      <w:r w:rsidR="009F7498" w:rsidRPr="000040A0">
        <w:rPr>
          <w:rFonts w:ascii="Arial" w:hAnsi="Arial" w:cs="Arial"/>
          <w:szCs w:val="28"/>
        </w:rPr>
        <w:t xml:space="preserve">. </w:t>
      </w:r>
      <w:r w:rsidRPr="000040A0">
        <w:rPr>
          <w:rFonts w:ascii="Arial" w:hAnsi="Arial" w:cs="Arial"/>
          <w:szCs w:val="28"/>
        </w:rPr>
        <w:t>Así</w:t>
      </w:r>
      <w:r w:rsidR="007C5E61" w:rsidRPr="000040A0">
        <w:rPr>
          <w:rFonts w:ascii="Arial" w:hAnsi="Arial" w:cs="Arial"/>
          <w:szCs w:val="28"/>
        </w:rPr>
        <w:t xml:space="preserve">, </w:t>
      </w:r>
      <w:r w:rsidRPr="000040A0">
        <w:rPr>
          <w:rFonts w:ascii="Arial" w:hAnsi="Arial" w:cs="Arial"/>
          <w:szCs w:val="28"/>
        </w:rPr>
        <w:t>para el trámite de audiencia e información pública se ha habilitado un plazo de siete días hábiles</w:t>
      </w:r>
      <w:r w:rsidRPr="00DA1529">
        <w:rPr>
          <w:rFonts w:ascii="Arial" w:hAnsi="Arial" w:cs="Arial"/>
          <w:szCs w:val="28"/>
        </w:rPr>
        <w:t xml:space="preserve"> a través de la página web del Departamento y</w:t>
      </w:r>
      <w:r w:rsidR="007C5E61">
        <w:rPr>
          <w:rFonts w:ascii="Arial" w:hAnsi="Arial" w:cs="Arial"/>
          <w:szCs w:val="28"/>
        </w:rPr>
        <w:t xml:space="preserve"> una</w:t>
      </w:r>
      <w:r w:rsidRPr="00DA1529">
        <w:rPr>
          <w:rFonts w:ascii="Arial" w:hAnsi="Arial" w:cs="Arial"/>
          <w:szCs w:val="28"/>
        </w:rPr>
        <w:t xml:space="preserve"> consulta a los interlocutores sociales -</w:t>
      </w:r>
      <w:r w:rsidR="007C5E61">
        <w:rPr>
          <w:rFonts w:ascii="Arial" w:hAnsi="Arial" w:cs="Arial"/>
          <w:szCs w:val="28"/>
        </w:rPr>
        <w:t xml:space="preserve">en virtud de los citados </w:t>
      </w:r>
      <w:r w:rsidRPr="00DA1529">
        <w:rPr>
          <w:rFonts w:ascii="Arial" w:hAnsi="Arial" w:cs="Arial"/>
          <w:szCs w:val="28"/>
        </w:rPr>
        <w:t>artículo</w:t>
      </w:r>
      <w:r w:rsidR="007C5E61">
        <w:rPr>
          <w:rFonts w:ascii="Arial" w:hAnsi="Arial" w:cs="Arial"/>
          <w:szCs w:val="28"/>
        </w:rPr>
        <w:t xml:space="preserve">s </w:t>
      </w:r>
      <w:r w:rsidRPr="00DA1529">
        <w:rPr>
          <w:rFonts w:ascii="Arial" w:hAnsi="Arial" w:cs="Arial"/>
          <w:szCs w:val="28"/>
        </w:rPr>
        <w:t>26.6 de la Ley del Gobierno</w:t>
      </w:r>
      <w:r w:rsidR="00A518F9" w:rsidRPr="00DA1529">
        <w:rPr>
          <w:rFonts w:ascii="Arial" w:hAnsi="Arial" w:cs="Arial"/>
          <w:szCs w:val="28"/>
        </w:rPr>
        <w:t xml:space="preserve"> artículo y 27.1</w:t>
      </w:r>
      <w:r w:rsidR="007C5E61">
        <w:rPr>
          <w:rFonts w:ascii="Arial" w:hAnsi="Arial" w:cs="Arial"/>
          <w:szCs w:val="28"/>
        </w:rPr>
        <w:t xml:space="preserve"> del</w:t>
      </w:r>
      <w:r w:rsidR="00A518F9" w:rsidRPr="00DA1529">
        <w:rPr>
          <w:rFonts w:ascii="Arial" w:hAnsi="Arial" w:cs="Arial"/>
          <w:szCs w:val="28"/>
        </w:rPr>
        <w:t xml:space="preserve"> ET</w:t>
      </w:r>
      <w:r w:rsidRPr="00DA1529">
        <w:rPr>
          <w:rFonts w:ascii="Arial" w:hAnsi="Arial" w:cs="Arial"/>
          <w:szCs w:val="28"/>
        </w:rPr>
        <w:t>-</w:t>
      </w:r>
      <w:r w:rsidR="007C5E61">
        <w:rPr>
          <w:rFonts w:ascii="Arial" w:hAnsi="Arial" w:cs="Arial"/>
          <w:szCs w:val="28"/>
        </w:rPr>
        <w:t>. En este sentido, es indudable que por</w:t>
      </w:r>
      <w:r w:rsidRPr="00DA1529">
        <w:rPr>
          <w:rFonts w:ascii="Arial" w:hAnsi="Arial" w:cs="Arial"/>
          <w:szCs w:val="28"/>
        </w:rPr>
        <w:t xml:space="preserve"> razones de seguridad jurídica esta cuantía deb</w:t>
      </w:r>
      <w:r w:rsidR="007C5E61">
        <w:rPr>
          <w:rFonts w:ascii="Arial" w:hAnsi="Arial" w:cs="Arial"/>
          <w:szCs w:val="28"/>
        </w:rPr>
        <w:t>a</w:t>
      </w:r>
      <w:r w:rsidRPr="00DA1529">
        <w:rPr>
          <w:rFonts w:ascii="Arial" w:hAnsi="Arial" w:cs="Arial"/>
          <w:szCs w:val="28"/>
        </w:rPr>
        <w:t xml:space="preserve"> ser conocida cuanto antes a efectos de abono de retribuciones, cotizaciones a la Seguridad Social y adicionales y negociación colectiva.</w:t>
      </w:r>
    </w:p>
    <w:p w14:paraId="2921959C" w14:textId="7CBEFC43" w:rsidR="00742BE3" w:rsidRPr="00ED133C" w:rsidRDefault="00A518F9" w:rsidP="00CA655D">
      <w:pPr>
        <w:spacing w:line="288" w:lineRule="auto"/>
        <w:rPr>
          <w:rFonts w:ascii="Arial" w:hAnsi="Arial" w:cs="Arial"/>
          <w:szCs w:val="28"/>
        </w:rPr>
      </w:pPr>
      <w:r w:rsidRPr="00DA1529">
        <w:rPr>
          <w:rFonts w:ascii="Arial" w:hAnsi="Arial" w:cs="Arial"/>
          <w:szCs w:val="28"/>
        </w:rPr>
        <w:t>A</w:t>
      </w:r>
      <w:r w:rsidR="00742BE3" w:rsidRPr="00DA1529">
        <w:rPr>
          <w:rFonts w:ascii="Arial" w:hAnsi="Arial" w:cs="Arial"/>
          <w:szCs w:val="28"/>
        </w:rPr>
        <w:t xml:space="preserve"> mayor abundamiento, no nos encontramos con una situación frente a la cual el Gobierno cuente con una discrecionalidad total a la hora de decidir actuar o no. El salario mínimo interprofesional es un instrumento </w:t>
      </w:r>
      <w:r w:rsidR="008441C2" w:rsidRPr="00DA1529">
        <w:rPr>
          <w:rFonts w:ascii="Arial" w:hAnsi="Arial" w:cs="Arial"/>
          <w:szCs w:val="28"/>
        </w:rPr>
        <w:t xml:space="preserve">al </w:t>
      </w:r>
      <w:r w:rsidR="00742BE3" w:rsidRPr="00DA1529">
        <w:rPr>
          <w:rFonts w:ascii="Arial" w:hAnsi="Arial" w:cs="Arial"/>
          <w:szCs w:val="28"/>
        </w:rPr>
        <w:t xml:space="preserve">que el legislador ha querido que se </w:t>
      </w:r>
      <w:r w:rsidR="008441C2" w:rsidRPr="00DA1529">
        <w:rPr>
          <w:rFonts w:ascii="Arial" w:hAnsi="Arial" w:cs="Arial"/>
          <w:szCs w:val="28"/>
        </w:rPr>
        <w:t xml:space="preserve">le dé uso. Y es que el artículo 27.1 del Estatuto de los Trabajadores compele, que no habilita, al Gobierno a fijar el salario mínimo interprofesional </w:t>
      </w:r>
      <w:r w:rsidR="005C6354" w:rsidRPr="00DA1529">
        <w:rPr>
          <w:rFonts w:ascii="Arial" w:hAnsi="Arial" w:cs="Arial"/>
          <w:szCs w:val="28"/>
        </w:rPr>
        <w:t>de forma anual</w:t>
      </w:r>
      <w:r w:rsidR="008441C2" w:rsidRPr="00DA1529">
        <w:rPr>
          <w:rFonts w:ascii="Arial" w:hAnsi="Arial" w:cs="Arial"/>
          <w:szCs w:val="28"/>
        </w:rPr>
        <w:t xml:space="preserve">. De esta manera, ante una </w:t>
      </w:r>
      <w:r w:rsidR="005C6354" w:rsidRPr="00DA1529">
        <w:rPr>
          <w:rFonts w:ascii="Arial" w:hAnsi="Arial" w:cs="Arial"/>
          <w:szCs w:val="28"/>
        </w:rPr>
        <w:t>norma que prevé</w:t>
      </w:r>
      <w:r w:rsidR="008441C2" w:rsidRPr="00DA1529">
        <w:rPr>
          <w:rFonts w:ascii="Arial" w:hAnsi="Arial" w:cs="Arial"/>
          <w:szCs w:val="28"/>
        </w:rPr>
        <w:t xml:space="preserve"> que se establezca el salario mínimo con dicha periodicidad solo cabe colegir </w:t>
      </w:r>
      <w:r w:rsidR="008441C2" w:rsidRPr="00DA1529">
        <w:rPr>
          <w:rFonts w:ascii="Arial" w:hAnsi="Arial" w:cs="Arial"/>
          <w:i/>
          <w:szCs w:val="28"/>
        </w:rPr>
        <w:t>a fortiori</w:t>
      </w:r>
      <w:r w:rsidR="008441C2" w:rsidRPr="00DA1529">
        <w:rPr>
          <w:rFonts w:ascii="Arial" w:hAnsi="Arial" w:cs="Arial"/>
          <w:szCs w:val="28"/>
        </w:rPr>
        <w:t xml:space="preserve"> </w:t>
      </w:r>
      <w:r w:rsidR="008441C2" w:rsidRPr="00DA1529">
        <w:rPr>
          <w:rFonts w:ascii="Arial" w:hAnsi="Arial" w:cs="Arial"/>
          <w:szCs w:val="28"/>
        </w:rPr>
        <w:lastRenderedPageBreak/>
        <w:t xml:space="preserve">que, frente a circunstancias ante las </w:t>
      </w:r>
      <w:r w:rsidR="005C6354" w:rsidRPr="00DA1529">
        <w:rPr>
          <w:rFonts w:ascii="Arial" w:hAnsi="Arial" w:cs="Arial"/>
          <w:szCs w:val="28"/>
        </w:rPr>
        <w:t>que precisamente</w:t>
      </w:r>
      <w:r w:rsidR="008441C2" w:rsidRPr="00DA1529">
        <w:rPr>
          <w:rFonts w:ascii="Arial" w:hAnsi="Arial" w:cs="Arial"/>
          <w:szCs w:val="28"/>
        </w:rPr>
        <w:t xml:space="preserve"> cobra sentido tal herramienta, el sujeto que tiene atribuida esta potestad no puede eludir su utilización.</w:t>
      </w:r>
      <w:r w:rsidR="00CA655D">
        <w:rPr>
          <w:rFonts w:ascii="Arial" w:hAnsi="Arial" w:cs="Arial"/>
          <w:szCs w:val="28"/>
        </w:rPr>
        <w:t xml:space="preserve"> </w:t>
      </w:r>
      <w:r w:rsidR="00CA655D" w:rsidRPr="00CA655D">
        <w:rPr>
          <w:rFonts w:ascii="Arial" w:hAnsi="Arial" w:cs="Arial"/>
          <w:szCs w:val="28"/>
        </w:rPr>
        <w:t xml:space="preserve">Este deber del Gobierno cuenta con un apoyo y una formulación expresa por parte del legislador, pues en tal sentido debe interpretarse el artículo </w:t>
      </w:r>
      <w:r w:rsidR="00CA655D">
        <w:rPr>
          <w:rFonts w:ascii="Arial" w:hAnsi="Arial" w:cs="Arial"/>
          <w:szCs w:val="28"/>
        </w:rPr>
        <w:t>84</w:t>
      </w:r>
      <w:r w:rsidR="00CA655D" w:rsidRPr="00CA655D">
        <w:rPr>
          <w:rFonts w:ascii="Arial" w:hAnsi="Arial" w:cs="Arial"/>
          <w:szCs w:val="28"/>
        </w:rPr>
        <w:t xml:space="preserve"> del Real Decreto-ley 8/2023, de 27 de diciembre, que tan solo prorroga</w:t>
      </w:r>
      <w:r w:rsidR="00CA655D">
        <w:rPr>
          <w:rFonts w:ascii="Arial" w:hAnsi="Arial" w:cs="Arial"/>
          <w:szCs w:val="28"/>
        </w:rPr>
        <w:t xml:space="preserve"> </w:t>
      </w:r>
      <w:r w:rsidR="00CA655D" w:rsidRPr="00CA655D">
        <w:rPr>
          <w:rFonts w:ascii="Arial" w:hAnsi="Arial" w:cs="Arial"/>
          <w:szCs w:val="28"/>
        </w:rPr>
        <w:t>el salario mínimo interprofesional para 202</w:t>
      </w:r>
      <w:r w:rsidR="00CA655D">
        <w:rPr>
          <w:rFonts w:ascii="Arial" w:hAnsi="Arial" w:cs="Arial"/>
          <w:szCs w:val="28"/>
        </w:rPr>
        <w:t>4</w:t>
      </w:r>
      <w:r w:rsidR="00CA655D" w:rsidRPr="00CA655D">
        <w:rPr>
          <w:rFonts w:ascii="Arial" w:hAnsi="Arial" w:cs="Arial"/>
          <w:szCs w:val="28"/>
        </w:rPr>
        <w:t xml:space="preserve"> hasta tanto se apruebe el real decreto que fije el correspondiente a 202</w:t>
      </w:r>
      <w:r w:rsidR="00CA655D">
        <w:rPr>
          <w:rFonts w:ascii="Arial" w:hAnsi="Arial" w:cs="Arial"/>
          <w:szCs w:val="28"/>
        </w:rPr>
        <w:t>4</w:t>
      </w:r>
      <w:r w:rsidR="00CA655D" w:rsidRPr="00CA655D">
        <w:rPr>
          <w:rFonts w:ascii="Arial" w:hAnsi="Arial" w:cs="Arial"/>
          <w:szCs w:val="28"/>
        </w:rPr>
        <w:t>.</w:t>
      </w:r>
    </w:p>
    <w:p w14:paraId="08755AC4" w14:textId="65B604DA" w:rsidR="008441C2" w:rsidRPr="00ED133C" w:rsidRDefault="0093744F" w:rsidP="00742BE3">
      <w:pPr>
        <w:spacing w:line="288" w:lineRule="auto"/>
        <w:rPr>
          <w:rFonts w:ascii="Arial" w:hAnsi="Arial" w:cs="Arial"/>
          <w:szCs w:val="28"/>
        </w:rPr>
      </w:pPr>
      <w:r w:rsidRPr="00ED133C">
        <w:rPr>
          <w:rFonts w:ascii="Arial" w:hAnsi="Arial" w:cs="Arial"/>
          <w:szCs w:val="28"/>
        </w:rPr>
        <w:t>Este enunciado</w:t>
      </w:r>
      <w:r w:rsidR="00BB6F56">
        <w:rPr>
          <w:rFonts w:ascii="Arial" w:hAnsi="Arial" w:cs="Arial"/>
          <w:szCs w:val="28"/>
        </w:rPr>
        <w:t xml:space="preserve"> </w:t>
      </w:r>
      <w:r w:rsidRPr="00ED133C">
        <w:rPr>
          <w:rFonts w:ascii="Arial" w:hAnsi="Arial" w:cs="Arial"/>
          <w:szCs w:val="28"/>
        </w:rPr>
        <w:t xml:space="preserve">debe entenderse en el sentido de imponer al Gobierno la obligación de aprobar el real decreto </w:t>
      </w:r>
      <w:r w:rsidR="005C6354" w:rsidRPr="00ED133C">
        <w:rPr>
          <w:rFonts w:ascii="Arial" w:hAnsi="Arial" w:cs="Arial"/>
          <w:szCs w:val="28"/>
        </w:rPr>
        <w:t>al que acompaña esta memoria</w:t>
      </w:r>
      <w:r w:rsidRPr="00ED133C">
        <w:rPr>
          <w:rFonts w:ascii="Arial" w:hAnsi="Arial" w:cs="Arial"/>
          <w:szCs w:val="28"/>
        </w:rPr>
        <w:t>. Y por supuesto, dicha intervención no puede ser meramente formal, sino que la fijación del salario mínimo debe responder a su objeto, que no es otro que sustentar unas condiciones laborales</w:t>
      </w:r>
      <w:r w:rsidR="005C6354" w:rsidRPr="00ED133C">
        <w:rPr>
          <w:rFonts w:ascii="Arial" w:hAnsi="Arial" w:cs="Arial"/>
          <w:szCs w:val="28"/>
        </w:rPr>
        <w:t xml:space="preserve"> y de vida</w:t>
      </w:r>
      <w:r w:rsidRPr="00ED133C">
        <w:rPr>
          <w:rFonts w:ascii="Arial" w:hAnsi="Arial" w:cs="Arial"/>
          <w:szCs w:val="28"/>
        </w:rPr>
        <w:t xml:space="preserve"> mínimas, para lo cual va de suyo que el salario mínimo debe producir efectos durante un periodo de 202</w:t>
      </w:r>
      <w:r w:rsidR="002C3850">
        <w:rPr>
          <w:rFonts w:ascii="Arial" w:hAnsi="Arial" w:cs="Arial"/>
          <w:szCs w:val="28"/>
        </w:rPr>
        <w:t>4</w:t>
      </w:r>
      <w:r w:rsidRPr="00ED133C">
        <w:rPr>
          <w:rFonts w:ascii="Arial" w:hAnsi="Arial" w:cs="Arial"/>
          <w:szCs w:val="28"/>
        </w:rPr>
        <w:t xml:space="preserve"> suficiente como para </w:t>
      </w:r>
      <w:r w:rsidR="005C6354" w:rsidRPr="00ED133C">
        <w:rPr>
          <w:rFonts w:ascii="Arial" w:hAnsi="Arial" w:cs="Arial"/>
          <w:szCs w:val="28"/>
        </w:rPr>
        <w:t>dar lugar a</w:t>
      </w:r>
      <w:r w:rsidRPr="00ED133C">
        <w:rPr>
          <w:rFonts w:ascii="Arial" w:hAnsi="Arial" w:cs="Arial"/>
          <w:szCs w:val="28"/>
        </w:rPr>
        <w:t xml:space="preserve"> ese </w:t>
      </w:r>
      <w:r w:rsidR="005C6354" w:rsidRPr="00ED133C">
        <w:rPr>
          <w:rFonts w:ascii="Arial" w:hAnsi="Arial" w:cs="Arial"/>
          <w:szCs w:val="28"/>
        </w:rPr>
        <w:t>resultado</w:t>
      </w:r>
      <w:r w:rsidRPr="00ED133C">
        <w:rPr>
          <w:rFonts w:ascii="Arial" w:hAnsi="Arial" w:cs="Arial"/>
          <w:szCs w:val="28"/>
        </w:rPr>
        <w:t xml:space="preserve"> protector.</w:t>
      </w:r>
    </w:p>
    <w:p w14:paraId="1927C38F" w14:textId="314B0249" w:rsidR="00112C63" w:rsidRPr="00CA0C07" w:rsidRDefault="006A307F" w:rsidP="00A518F9">
      <w:pPr>
        <w:spacing w:line="288" w:lineRule="auto"/>
        <w:rPr>
          <w:rFonts w:ascii="Arial" w:hAnsi="Arial" w:cs="Arial"/>
          <w:szCs w:val="28"/>
        </w:rPr>
      </w:pPr>
      <w:r w:rsidRPr="00DA1529">
        <w:rPr>
          <w:rFonts w:ascii="Arial" w:hAnsi="Arial" w:cs="Arial"/>
          <w:szCs w:val="28"/>
        </w:rPr>
        <w:t>1.</w:t>
      </w:r>
      <w:r w:rsidR="000F398C" w:rsidRPr="00DA1529">
        <w:rPr>
          <w:rFonts w:ascii="Arial" w:hAnsi="Arial" w:cs="Arial"/>
          <w:szCs w:val="28"/>
        </w:rPr>
        <w:t>3</w:t>
      </w:r>
      <w:r w:rsidRPr="00DA1529">
        <w:rPr>
          <w:rFonts w:ascii="Arial" w:hAnsi="Arial" w:cs="Arial"/>
          <w:szCs w:val="28"/>
        </w:rPr>
        <w:t xml:space="preserve">. </w:t>
      </w:r>
      <w:r w:rsidR="00CA0C07">
        <w:rPr>
          <w:rFonts w:ascii="Arial" w:hAnsi="Arial" w:cs="Arial"/>
          <w:szCs w:val="28"/>
        </w:rPr>
        <w:t>Como se ha indicado, e</w:t>
      </w:r>
      <w:r w:rsidRPr="00DA1529">
        <w:rPr>
          <w:rFonts w:ascii="Arial" w:hAnsi="Arial" w:cs="Arial"/>
          <w:szCs w:val="28"/>
        </w:rPr>
        <w:t>specíficamente el artículo 27.1 del Estatuto de los Trabajadores</w:t>
      </w:r>
      <w:r w:rsidR="00A94032" w:rsidRPr="00DA1529">
        <w:rPr>
          <w:rFonts w:ascii="Arial" w:hAnsi="Arial" w:cs="Arial"/>
          <w:szCs w:val="28"/>
        </w:rPr>
        <w:t xml:space="preserve"> se refiere</w:t>
      </w:r>
      <w:r w:rsidRPr="00DA1529">
        <w:rPr>
          <w:rFonts w:ascii="Arial" w:hAnsi="Arial" w:cs="Arial"/>
          <w:szCs w:val="28"/>
        </w:rPr>
        <w:t xml:space="preserve"> a la </w:t>
      </w:r>
      <w:r w:rsidRPr="00CA0C07">
        <w:rPr>
          <w:rFonts w:ascii="Arial" w:hAnsi="Arial" w:cs="Arial"/>
          <w:i/>
          <w:szCs w:val="28"/>
          <w:u w:val="single"/>
        </w:rPr>
        <w:t>previa consulta con las organizaciones sindicales y asociaciones empresariales más representativas</w:t>
      </w:r>
      <w:r w:rsidR="00E50EDA" w:rsidRPr="00CA0C07">
        <w:rPr>
          <w:rFonts w:ascii="Arial" w:hAnsi="Arial" w:cs="Arial"/>
          <w:szCs w:val="28"/>
        </w:rPr>
        <w:t xml:space="preserve">, por lo que el proyecto y su Memoria </w:t>
      </w:r>
      <w:r w:rsidR="009F7498" w:rsidRPr="00CA0C07">
        <w:rPr>
          <w:rFonts w:ascii="Arial" w:hAnsi="Arial" w:cs="Arial"/>
          <w:szCs w:val="28"/>
        </w:rPr>
        <w:t xml:space="preserve">deben ser </w:t>
      </w:r>
      <w:r w:rsidR="00E50EDA" w:rsidRPr="00CA0C07">
        <w:rPr>
          <w:rFonts w:ascii="Arial" w:hAnsi="Arial" w:cs="Arial"/>
          <w:szCs w:val="28"/>
        </w:rPr>
        <w:t>objeto de solicitud de informe a las mismas</w:t>
      </w:r>
      <w:r w:rsidR="009F7498" w:rsidRPr="00CA0C07">
        <w:rPr>
          <w:rFonts w:ascii="Arial" w:hAnsi="Arial" w:cs="Arial"/>
          <w:szCs w:val="28"/>
        </w:rPr>
        <w:t>.</w:t>
      </w:r>
    </w:p>
    <w:p w14:paraId="54B437B5" w14:textId="7BCEF643" w:rsidR="00115B6C" w:rsidRDefault="008374CC" w:rsidP="00A518F9">
      <w:pPr>
        <w:spacing w:line="288" w:lineRule="auto"/>
        <w:rPr>
          <w:rFonts w:ascii="Arial" w:hAnsi="Arial" w:cs="Arial"/>
          <w:szCs w:val="28"/>
        </w:rPr>
      </w:pPr>
      <w:r w:rsidRPr="008374CC">
        <w:rPr>
          <w:rFonts w:ascii="Arial" w:hAnsi="Arial" w:cs="Arial"/>
          <w:szCs w:val="28"/>
        </w:rPr>
        <w:t xml:space="preserve">1.4. </w:t>
      </w:r>
      <w:r w:rsidR="00CA0C07">
        <w:rPr>
          <w:rFonts w:ascii="Arial" w:hAnsi="Arial" w:cs="Arial"/>
          <w:szCs w:val="28"/>
        </w:rPr>
        <w:t>Por otra parte, e</w:t>
      </w:r>
      <w:r w:rsidRPr="008374CC">
        <w:rPr>
          <w:rFonts w:ascii="Arial" w:hAnsi="Arial" w:cs="Arial"/>
          <w:szCs w:val="28"/>
        </w:rPr>
        <w:t xml:space="preserve">n fechas </w:t>
      </w:r>
      <w:r w:rsidR="000040A0">
        <w:rPr>
          <w:rFonts w:ascii="Arial" w:hAnsi="Arial" w:cs="Arial"/>
          <w:szCs w:val="28"/>
        </w:rPr>
        <w:t xml:space="preserve">8 de enero y 12 de enero de 2024 </w:t>
      </w:r>
      <w:r w:rsidRPr="008374CC">
        <w:rPr>
          <w:rFonts w:ascii="Arial" w:hAnsi="Arial" w:cs="Arial"/>
          <w:szCs w:val="28"/>
        </w:rPr>
        <w:t xml:space="preserve">han tenido lugar reuniones de la </w:t>
      </w:r>
      <w:r w:rsidRPr="00CA0C07">
        <w:rPr>
          <w:rFonts w:ascii="Arial" w:hAnsi="Arial" w:cs="Arial"/>
          <w:szCs w:val="28"/>
          <w:u w:val="single"/>
        </w:rPr>
        <w:t>mesa de diálogo social</w:t>
      </w:r>
      <w:r w:rsidRPr="008374CC">
        <w:rPr>
          <w:rFonts w:ascii="Arial" w:hAnsi="Arial" w:cs="Arial"/>
          <w:szCs w:val="28"/>
        </w:rPr>
        <w:t xml:space="preserve"> formada por el Gobierno, CEOE, CEPYME, CCO</w:t>
      </w:r>
      <w:r w:rsidRPr="00CA0C07">
        <w:rPr>
          <w:rFonts w:ascii="Arial" w:hAnsi="Arial" w:cs="Arial"/>
          <w:szCs w:val="28"/>
        </w:rPr>
        <w:t>O y UGT.</w:t>
      </w:r>
    </w:p>
    <w:p w14:paraId="1FB186B5" w14:textId="77777777" w:rsidR="00CA0C07" w:rsidRPr="00DA1529" w:rsidRDefault="00CA0C07" w:rsidP="00A518F9">
      <w:pPr>
        <w:spacing w:line="288" w:lineRule="auto"/>
        <w:rPr>
          <w:rFonts w:ascii="Arial" w:hAnsi="Arial" w:cs="Arial"/>
          <w:szCs w:val="28"/>
        </w:rPr>
      </w:pPr>
    </w:p>
    <w:p w14:paraId="1FF43B22" w14:textId="77777777" w:rsidR="00037E1F" w:rsidRPr="00DA1529" w:rsidRDefault="008C00C7" w:rsidP="006A307F">
      <w:pPr>
        <w:spacing w:line="288" w:lineRule="auto"/>
        <w:rPr>
          <w:rFonts w:ascii="Arial" w:hAnsi="Arial" w:cs="Arial"/>
          <w:szCs w:val="28"/>
        </w:rPr>
      </w:pPr>
      <w:r w:rsidRPr="00DA1529">
        <w:rPr>
          <w:rFonts w:ascii="Arial" w:hAnsi="Arial" w:cs="Arial"/>
          <w:b/>
          <w:szCs w:val="28"/>
        </w:rPr>
        <w:t xml:space="preserve">2. </w:t>
      </w:r>
      <w:r w:rsidR="00037E1F" w:rsidRPr="00DA1529">
        <w:rPr>
          <w:rFonts w:ascii="Arial" w:hAnsi="Arial" w:cs="Arial"/>
          <w:b/>
          <w:szCs w:val="28"/>
        </w:rPr>
        <w:t>Informes de</w:t>
      </w:r>
      <w:r w:rsidR="00037E1F" w:rsidRPr="00DA1529">
        <w:rPr>
          <w:rFonts w:ascii="Arial" w:hAnsi="Arial" w:cs="Arial"/>
          <w:szCs w:val="28"/>
        </w:rPr>
        <w:t xml:space="preserve"> </w:t>
      </w:r>
      <w:r w:rsidR="00037E1F" w:rsidRPr="00DA1529">
        <w:rPr>
          <w:rFonts w:ascii="Arial" w:hAnsi="Arial" w:cs="Arial"/>
          <w:b/>
          <w:szCs w:val="28"/>
        </w:rPr>
        <w:t>la Administración General del Estado</w:t>
      </w:r>
    </w:p>
    <w:p w14:paraId="6D13475C" w14:textId="77777777" w:rsidR="00B61B24" w:rsidRDefault="00B61B24" w:rsidP="006A307F">
      <w:pPr>
        <w:spacing w:line="288" w:lineRule="auto"/>
        <w:rPr>
          <w:rFonts w:ascii="Arial" w:hAnsi="Arial" w:cs="Arial"/>
          <w:szCs w:val="28"/>
        </w:rPr>
      </w:pPr>
    </w:p>
    <w:p w14:paraId="778D4FF4" w14:textId="79E1F8D0" w:rsidR="00037E1F" w:rsidRPr="00DA1529" w:rsidRDefault="008C00C7" w:rsidP="006A307F">
      <w:pPr>
        <w:spacing w:line="288" w:lineRule="auto"/>
        <w:rPr>
          <w:rFonts w:ascii="Arial" w:hAnsi="Arial" w:cs="Arial"/>
          <w:szCs w:val="28"/>
        </w:rPr>
      </w:pPr>
      <w:r w:rsidRPr="00DA1529">
        <w:rPr>
          <w:rFonts w:ascii="Arial" w:hAnsi="Arial" w:cs="Arial"/>
          <w:szCs w:val="28"/>
        </w:rPr>
        <w:t>2.1</w:t>
      </w:r>
      <w:r w:rsidR="00037E1F" w:rsidRPr="00DA1529">
        <w:rPr>
          <w:rFonts w:ascii="Arial" w:hAnsi="Arial" w:cs="Arial"/>
          <w:szCs w:val="28"/>
        </w:rPr>
        <w:t xml:space="preserve">. </w:t>
      </w:r>
      <w:r w:rsidR="00F244A7" w:rsidRPr="00DA1529">
        <w:rPr>
          <w:rFonts w:ascii="Arial" w:hAnsi="Arial" w:cs="Arial"/>
          <w:szCs w:val="28"/>
        </w:rPr>
        <w:t>En el ámbito</w:t>
      </w:r>
      <w:r w:rsidR="00037E1F" w:rsidRPr="00DA1529">
        <w:rPr>
          <w:rFonts w:ascii="Arial" w:hAnsi="Arial" w:cs="Arial"/>
          <w:szCs w:val="28"/>
        </w:rPr>
        <w:t xml:space="preserve"> del </w:t>
      </w:r>
      <w:r w:rsidR="00037E1F" w:rsidRPr="00CA0C07">
        <w:rPr>
          <w:rFonts w:ascii="Arial" w:hAnsi="Arial" w:cs="Arial"/>
          <w:szCs w:val="28"/>
          <w:u w:val="single"/>
        </w:rPr>
        <w:t>Ministerio de Trabajo y Economía Social</w:t>
      </w:r>
      <w:r w:rsidR="00CA0C07">
        <w:rPr>
          <w:rFonts w:ascii="Arial" w:hAnsi="Arial" w:cs="Arial"/>
          <w:szCs w:val="28"/>
        </w:rPr>
        <w:t>.</w:t>
      </w:r>
    </w:p>
    <w:p w14:paraId="03414439" w14:textId="75637DBD" w:rsidR="00A04B18" w:rsidRPr="00DA1529" w:rsidRDefault="009547A1" w:rsidP="006A307F">
      <w:pPr>
        <w:spacing w:line="288" w:lineRule="auto"/>
        <w:rPr>
          <w:rFonts w:ascii="Arial" w:hAnsi="Arial" w:cs="Arial"/>
          <w:szCs w:val="28"/>
        </w:rPr>
      </w:pPr>
      <w:r w:rsidRPr="00DA1529">
        <w:rPr>
          <w:rFonts w:ascii="Arial" w:hAnsi="Arial" w:cs="Arial"/>
          <w:szCs w:val="28"/>
        </w:rPr>
        <w:t xml:space="preserve">En fase </w:t>
      </w:r>
      <w:r w:rsidR="00681D5E" w:rsidRPr="00DA1529">
        <w:rPr>
          <w:rFonts w:ascii="Arial" w:hAnsi="Arial" w:cs="Arial"/>
          <w:szCs w:val="28"/>
        </w:rPr>
        <w:t xml:space="preserve">de </w:t>
      </w:r>
      <w:r w:rsidRPr="00DA1529">
        <w:rPr>
          <w:rFonts w:ascii="Arial" w:hAnsi="Arial" w:cs="Arial"/>
          <w:szCs w:val="28"/>
        </w:rPr>
        <w:t>borrador</w:t>
      </w:r>
      <w:r w:rsidR="00037E1F" w:rsidRPr="00DA1529">
        <w:rPr>
          <w:rFonts w:ascii="Arial" w:hAnsi="Arial" w:cs="Arial"/>
          <w:szCs w:val="28"/>
        </w:rPr>
        <w:t>, de acuerdo con el artículo 26.5</w:t>
      </w:r>
      <w:r w:rsidR="000441AE" w:rsidRPr="00DA1529">
        <w:rPr>
          <w:rFonts w:ascii="Arial" w:hAnsi="Arial" w:cs="Arial"/>
          <w:szCs w:val="28"/>
        </w:rPr>
        <w:t xml:space="preserve">, párrafo primero, </w:t>
      </w:r>
      <w:bookmarkStart w:id="5" w:name="_Hlk95978391"/>
      <w:r w:rsidR="00037E1F" w:rsidRPr="00DA1529">
        <w:rPr>
          <w:rFonts w:ascii="Arial" w:hAnsi="Arial" w:cs="Arial"/>
          <w:szCs w:val="28"/>
        </w:rPr>
        <w:t xml:space="preserve">de la </w:t>
      </w:r>
      <w:r w:rsidR="00681D5E" w:rsidRPr="00DA1529">
        <w:rPr>
          <w:rFonts w:ascii="Arial" w:hAnsi="Arial" w:cs="Arial"/>
          <w:szCs w:val="28"/>
        </w:rPr>
        <w:t>Ley 50/1997, de 27 de noviembre</w:t>
      </w:r>
      <w:bookmarkEnd w:id="5"/>
      <w:r w:rsidR="00A04B18" w:rsidRPr="00DA1529">
        <w:rPr>
          <w:rFonts w:ascii="Arial" w:hAnsi="Arial" w:cs="Arial"/>
          <w:szCs w:val="28"/>
        </w:rPr>
        <w:t xml:space="preserve">, </w:t>
      </w:r>
      <w:r w:rsidR="00F244A7" w:rsidRPr="00BB6F56">
        <w:rPr>
          <w:rFonts w:ascii="Arial" w:hAnsi="Arial" w:cs="Arial"/>
          <w:szCs w:val="28"/>
        </w:rPr>
        <w:t xml:space="preserve">el día </w:t>
      </w:r>
      <w:r w:rsidR="00BB6F56" w:rsidRPr="00BB6F56">
        <w:rPr>
          <w:rFonts w:ascii="Arial" w:hAnsi="Arial" w:cs="Arial"/>
          <w:szCs w:val="28"/>
        </w:rPr>
        <w:t>7</w:t>
      </w:r>
      <w:r w:rsidR="007774D8" w:rsidRPr="00BB6F56">
        <w:rPr>
          <w:rFonts w:ascii="Arial" w:hAnsi="Arial" w:cs="Arial"/>
          <w:szCs w:val="28"/>
        </w:rPr>
        <w:t xml:space="preserve"> de diciembre</w:t>
      </w:r>
      <w:r w:rsidR="00A518F9" w:rsidRPr="00DA1529">
        <w:rPr>
          <w:rFonts w:ascii="Arial" w:hAnsi="Arial" w:cs="Arial"/>
          <w:szCs w:val="28"/>
        </w:rPr>
        <w:t xml:space="preserve"> </w:t>
      </w:r>
      <w:r w:rsidR="00037E1F" w:rsidRPr="00DA1529">
        <w:rPr>
          <w:rFonts w:ascii="Arial" w:hAnsi="Arial" w:cs="Arial"/>
          <w:szCs w:val="28"/>
        </w:rPr>
        <w:t xml:space="preserve">se </w:t>
      </w:r>
      <w:r w:rsidR="00F244A7" w:rsidRPr="00DA1529">
        <w:rPr>
          <w:rFonts w:ascii="Arial" w:hAnsi="Arial" w:cs="Arial"/>
          <w:szCs w:val="28"/>
        </w:rPr>
        <w:t>recabó el</w:t>
      </w:r>
      <w:r w:rsidR="00037E1F" w:rsidRPr="00DA1529">
        <w:rPr>
          <w:rFonts w:ascii="Arial" w:hAnsi="Arial" w:cs="Arial"/>
          <w:szCs w:val="28"/>
        </w:rPr>
        <w:t xml:space="preserve"> informe</w:t>
      </w:r>
      <w:r w:rsidR="003648EC" w:rsidRPr="00DA1529">
        <w:rPr>
          <w:rFonts w:ascii="Arial" w:hAnsi="Arial" w:cs="Arial"/>
          <w:szCs w:val="28"/>
        </w:rPr>
        <w:t xml:space="preserve"> </w:t>
      </w:r>
      <w:r w:rsidR="00F244A7" w:rsidRPr="00DA1529">
        <w:rPr>
          <w:rFonts w:ascii="Arial" w:hAnsi="Arial" w:cs="Arial"/>
          <w:szCs w:val="28"/>
        </w:rPr>
        <w:t>del</w:t>
      </w:r>
      <w:r w:rsidR="00A04B18" w:rsidRPr="00DA1529">
        <w:rPr>
          <w:rFonts w:ascii="Arial" w:hAnsi="Arial" w:cs="Arial"/>
          <w:szCs w:val="28"/>
        </w:rPr>
        <w:t xml:space="preserve"> Fondo de Garantía Salarial, </w:t>
      </w:r>
      <w:r w:rsidR="00F244A7" w:rsidRPr="00DA1529">
        <w:rPr>
          <w:rFonts w:ascii="Arial" w:hAnsi="Arial" w:cs="Arial"/>
          <w:szCs w:val="28"/>
        </w:rPr>
        <w:t>de</w:t>
      </w:r>
      <w:r w:rsidR="00A04B18" w:rsidRPr="00DA1529">
        <w:rPr>
          <w:rFonts w:ascii="Arial" w:hAnsi="Arial" w:cs="Arial"/>
          <w:szCs w:val="28"/>
        </w:rPr>
        <w:t xml:space="preserve">l Servicio Público de </w:t>
      </w:r>
      <w:r w:rsidR="007755BE" w:rsidRPr="00DA1529">
        <w:rPr>
          <w:rFonts w:ascii="Arial" w:hAnsi="Arial" w:cs="Arial"/>
          <w:szCs w:val="28"/>
        </w:rPr>
        <w:t>E</w:t>
      </w:r>
      <w:r w:rsidR="00A04B18" w:rsidRPr="00DA1529">
        <w:rPr>
          <w:rFonts w:ascii="Arial" w:hAnsi="Arial" w:cs="Arial"/>
          <w:szCs w:val="28"/>
        </w:rPr>
        <w:t xml:space="preserve">mpleo Estatal y </w:t>
      </w:r>
      <w:r w:rsidR="00F244A7" w:rsidRPr="00DA1529">
        <w:rPr>
          <w:rFonts w:ascii="Arial" w:hAnsi="Arial" w:cs="Arial"/>
          <w:szCs w:val="28"/>
        </w:rPr>
        <w:t>de</w:t>
      </w:r>
      <w:r w:rsidR="00A04B18" w:rsidRPr="00DA1529">
        <w:rPr>
          <w:rFonts w:ascii="Arial" w:hAnsi="Arial" w:cs="Arial"/>
          <w:szCs w:val="28"/>
        </w:rPr>
        <w:t xml:space="preserve"> la Subdirección General de Estadística y Análisis Sociolaboral.</w:t>
      </w:r>
    </w:p>
    <w:p w14:paraId="79E2E67E" w14:textId="18BF14A2" w:rsidR="00A04B18" w:rsidRPr="00DA1529" w:rsidRDefault="00CA0C07" w:rsidP="006A307F">
      <w:pPr>
        <w:spacing w:line="288" w:lineRule="auto"/>
        <w:rPr>
          <w:rFonts w:ascii="Arial" w:hAnsi="Arial" w:cs="Arial"/>
          <w:szCs w:val="28"/>
        </w:rPr>
      </w:pPr>
      <w:r>
        <w:rPr>
          <w:rFonts w:ascii="Arial" w:hAnsi="Arial" w:cs="Arial"/>
          <w:szCs w:val="28"/>
        </w:rPr>
        <w:t>Posteriormente</w:t>
      </w:r>
      <w:r w:rsidR="00A04B18" w:rsidRPr="00DA1529">
        <w:rPr>
          <w:rFonts w:ascii="Arial" w:hAnsi="Arial" w:cs="Arial"/>
          <w:szCs w:val="28"/>
        </w:rPr>
        <w:t>, se ha recabado informe de la Secretaria General Técnica del Departamento</w:t>
      </w:r>
      <w:r w:rsidR="00827AEE" w:rsidRPr="00DA1529">
        <w:rPr>
          <w:rFonts w:ascii="Arial" w:hAnsi="Arial" w:cs="Arial"/>
          <w:szCs w:val="28"/>
        </w:rPr>
        <w:t>, de acuerdo con lo previsto en el artículo 26.5, párrafo cuarto de la Ley 50/1997, de 27 de noviembre</w:t>
      </w:r>
      <w:r w:rsidR="009F7498" w:rsidRPr="00DA1529">
        <w:rPr>
          <w:rFonts w:ascii="Arial" w:hAnsi="Arial" w:cs="Arial"/>
          <w:szCs w:val="28"/>
        </w:rPr>
        <w:t>.</w:t>
      </w:r>
    </w:p>
    <w:p w14:paraId="436F3076" w14:textId="1BA301ED" w:rsidR="00B61B24" w:rsidRDefault="00B61B24" w:rsidP="006A307F">
      <w:pPr>
        <w:spacing w:line="288" w:lineRule="auto"/>
        <w:rPr>
          <w:rFonts w:ascii="Arial" w:hAnsi="Arial" w:cs="Arial"/>
          <w:szCs w:val="28"/>
        </w:rPr>
      </w:pPr>
    </w:p>
    <w:p w14:paraId="578D9984" w14:textId="77777777" w:rsidR="00B61B24" w:rsidRDefault="00B61B24" w:rsidP="006A307F">
      <w:pPr>
        <w:spacing w:line="288" w:lineRule="auto"/>
        <w:rPr>
          <w:rFonts w:ascii="Arial" w:hAnsi="Arial" w:cs="Arial"/>
          <w:szCs w:val="28"/>
        </w:rPr>
      </w:pPr>
    </w:p>
    <w:p w14:paraId="10B15AED" w14:textId="17A581BF" w:rsidR="00A04B18" w:rsidRPr="00DA1529" w:rsidRDefault="008C00C7" w:rsidP="006A307F">
      <w:pPr>
        <w:spacing w:line="288" w:lineRule="auto"/>
        <w:rPr>
          <w:rFonts w:ascii="Arial" w:hAnsi="Arial" w:cs="Arial"/>
          <w:szCs w:val="28"/>
        </w:rPr>
      </w:pPr>
      <w:r w:rsidRPr="00DA1529">
        <w:rPr>
          <w:rFonts w:ascii="Arial" w:hAnsi="Arial" w:cs="Arial"/>
          <w:szCs w:val="28"/>
        </w:rPr>
        <w:lastRenderedPageBreak/>
        <w:t>2.2</w:t>
      </w:r>
      <w:r w:rsidR="00C51F30" w:rsidRPr="00DA1529">
        <w:rPr>
          <w:rFonts w:ascii="Arial" w:hAnsi="Arial" w:cs="Arial"/>
          <w:szCs w:val="28"/>
        </w:rPr>
        <w:t>.</w:t>
      </w:r>
      <w:r w:rsidRPr="00DA1529">
        <w:rPr>
          <w:rFonts w:ascii="Arial" w:hAnsi="Arial" w:cs="Arial"/>
          <w:szCs w:val="28"/>
        </w:rPr>
        <w:t xml:space="preserve"> </w:t>
      </w:r>
      <w:r w:rsidR="00A04B18" w:rsidRPr="00DA1529">
        <w:rPr>
          <w:rFonts w:ascii="Arial" w:hAnsi="Arial" w:cs="Arial"/>
          <w:szCs w:val="28"/>
        </w:rPr>
        <w:t xml:space="preserve">Informes de </w:t>
      </w:r>
      <w:r w:rsidR="00A04B18" w:rsidRPr="00CA0C07">
        <w:rPr>
          <w:rFonts w:ascii="Arial" w:hAnsi="Arial" w:cs="Arial"/>
          <w:szCs w:val="28"/>
          <w:u w:val="single"/>
        </w:rPr>
        <w:t xml:space="preserve">otros </w:t>
      </w:r>
      <w:r w:rsidR="00135C83" w:rsidRPr="00CA0C07">
        <w:rPr>
          <w:rFonts w:ascii="Arial" w:hAnsi="Arial" w:cs="Arial"/>
          <w:szCs w:val="28"/>
          <w:u w:val="single"/>
        </w:rPr>
        <w:t>d</w:t>
      </w:r>
      <w:r w:rsidR="00A04B18" w:rsidRPr="00CA0C07">
        <w:rPr>
          <w:rFonts w:ascii="Arial" w:hAnsi="Arial" w:cs="Arial"/>
          <w:szCs w:val="28"/>
          <w:u w:val="single"/>
        </w:rPr>
        <w:t xml:space="preserve">epartamentos </w:t>
      </w:r>
      <w:r w:rsidR="00135C83" w:rsidRPr="00CA0C07">
        <w:rPr>
          <w:rFonts w:ascii="Arial" w:hAnsi="Arial" w:cs="Arial"/>
          <w:szCs w:val="28"/>
          <w:u w:val="single"/>
        </w:rPr>
        <w:t>m</w:t>
      </w:r>
      <w:r w:rsidR="00A04B18" w:rsidRPr="00CA0C07">
        <w:rPr>
          <w:rFonts w:ascii="Arial" w:hAnsi="Arial" w:cs="Arial"/>
          <w:szCs w:val="28"/>
          <w:u w:val="single"/>
        </w:rPr>
        <w:t>inisteriales</w:t>
      </w:r>
      <w:r w:rsidR="00CA0C07">
        <w:rPr>
          <w:rFonts w:ascii="Arial" w:hAnsi="Arial" w:cs="Arial"/>
          <w:szCs w:val="28"/>
        </w:rPr>
        <w:t>.</w:t>
      </w:r>
    </w:p>
    <w:p w14:paraId="7EF9F6E8" w14:textId="52CCF0F4" w:rsidR="00E50EDA" w:rsidRPr="00DA1529" w:rsidRDefault="00E50EDA" w:rsidP="006A307F">
      <w:pPr>
        <w:spacing w:line="288" w:lineRule="auto"/>
        <w:rPr>
          <w:rFonts w:ascii="Arial" w:hAnsi="Arial" w:cs="Arial"/>
          <w:szCs w:val="28"/>
        </w:rPr>
      </w:pPr>
      <w:r w:rsidRPr="00DA1529">
        <w:rPr>
          <w:rFonts w:ascii="Arial" w:hAnsi="Arial" w:cs="Arial"/>
          <w:szCs w:val="28"/>
        </w:rPr>
        <w:t>En fase</w:t>
      </w:r>
      <w:r w:rsidR="00681D5E" w:rsidRPr="00DA1529">
        <w:rPr>
          <w:rFonts w:ascii="Arial" w:hAnsi="Arial" w:cs="Arial"/>
          <w:szCs w:val="28"/>
        </w:rPr>
        <w:t xml:space="preserve"> de</w:t>
      </w:r>
      <w:r w:rsidRPr="00DA1529">
        <w:rPr>
          <w:rFonts w:ascii="Arial" w:hAnsi="Arial" w:cs="Arial"/>
          <w:szCs w:val="28"/>
        </w:rPr>
        <w:t xml:space="preserve"> borrador se </w:t>
      </w:r>
      <w:r w:rsidRPr="00CA0C07">
        <w:rPr>
          <w:rFonts w:ascii="Arial" w:hAnsi="Arial" w:cs="Arial"/>
          <w:szCs w:val="28"/>
        </w:rPr>
        <w:t>ha recabado</w:t>
      </w:r>
      <w:r w:rsidR="009F7498" w:rsidRPr="00CA0C07">
        <w:rPr>
          <w:rFonts w:ascii="Arial" w:hAnsi="Arial" w:cs="Arial"/>
          <w:szCs w:val="28"/>
        </w:rPr>
        <w:t xml:space="preserve"> </w:t>
      </w:r>
      <w:r w:rsidRPr="00CA0C07">
        <w:rPr>
          <w:rFonts w:ascii="Arial" w:hAnsi="Arial" w:cs="Arial"/>
          <w:szCs w:val="28"/>
        </w:rPr>
        <w:t>informe</w:t>
      </w:r>
      <w:r w:rsidR="00D048BE" w:rsidRPr="00CA0C07">
        <w:rPr>
          <w:rFonts w:ascii="Arial" w:hAnsi="Arial" w:cs="Arial"/>
          <w:szCs w:val="28"/>
        </w:rPr>
        <w:t xml:space="preserve"> </w:t>
      </w:r>
      <w:r w:rsidRPr="00CA0C07">
        <w:rPr>
          <w:rFonts w:ascii="Arial" w:hAnsi="Arial" w:cs="Arial"/>
          <w:szCs w:val="28"/>
        </w:rPr>
        <w:t>al Ministerio de Inclusión,</w:t>
      </w:r>
      <w:r w:rsidR="00135C83" w:rsidRPr="00CA0C07">
        <w:rPr>
          <w:rFonts w:ascii="Arial" w:hAnsi="Arial" w:cs="Arial"/>
          <w:szCs w:val="28"/>
        </w:rPr>
        <w:t xml:space="preserve"> </w:t>
      </w:r>
      <w:r w:rsidRPr="00CA0C07">
        <w:rPr>
          <w:rFonts w:ascii="Arial" w:hAnsi="Arial" w:cs="Arial"/>
          <w:szCs w:val="28"/>
        </w:rPr>
        <w:t>Seguridad Social</w:t>
      </w:r>
      <w:r w:rsidR="00135C83" w:rsidRPr="00CA0C07">
        <w:rPr>
          <w:rFonts w:ascii="Arial" w:hAnsi="Arial" w:cs="Arial"/>
          <w:szCs w:val="28"/>
        </w:rPr>
        <w:t xml:space="preserve"> y Migraciones</w:t>
      </w:r>
      <w:r w:rsidR="00827AEE" w:rsidRPr="00CA0C07">
        <w:rPr>
          <w:rFonts w:ascii="Arial" w:hAnsi="Arial" w:cs="Arial"/>
          <w:szCs w:val="28"/>
        </w:rPr>
        <w:t>,</w:t>
      </w:r>
      <w:r w:rsidRPr="00CA0C07">
        <w:rPr>
          <w:rFonts w:ascii="Arial" w:hAnsi="Arial" w:cs="Arial"/>
          <w:szCs w:val="28"/>
        </w:rPr>
        <w:t xml:space="preserve"> para la estimación del incremento del SMI en </w:t>
      </w:r>
      <w:r w:rsidR="00DB1534" w:rsidRPr="00CA0C07">
        <w:rPr>
          <w:rFonts w:ascii="Arial" w:hAnsi="Arial" w:cs="Arial"/>
          <w:szCs w:val="28"/>
        </w:rPr>
        <w:t>materia de ingresos y gastos.</w:t>
      </w:r>
    </w:p>
    <w:p w14:paraId="5682270E" w14:textId="59181BA7" w:rsidR="00DB1534" w:rsidRPr="00DA1529" w:rsidRDefault="00CA0C07" w:rsidP="006A307F">
      <w:pPr>
        <w:spacing w:line="288" w:lineRule="auto"/>
        <w:rPr>
          <w:rFonts w:ascii="Arial" w:hAnsi="Arial" w:cs="Arial"/>
          <w:szCs w:val="28"/>
        </w:rPr>
      </w:pPr>
      <w:r>
        <w:rPr>
          <w:rFonts w:ascii="Arial" w:hAnsi="Arial" w:cs="Arial"/>
          <w:szCs w:val="28"/>
        </w:rPr>
        <w:t>Posteriormente</w:t>
      </w:r>
      <w:r w:rsidR="00DB1534" w:rsidRPr="00DA1529">
        <w:rPr>
          <w:rFonts w:ascii="Arial" w:hAnsi="Arial" w:cs="Arial"/>
          <w:szCs w:val="28"/>
        </w:rPr>
        <w:t>, se ha solicitado informe a</w:t>
      </w:r>
      <w:r w:rsidR="00121ABA" w:rsidRPr="00DA1529">
        <w:rPr>
          <w:rFonts w:ascii="Arial" w:hAnsi="Arial" w:cs="Arial"/>
          <w:szCs w:val="28"/>
        </w:rPr>
        <w:t>:</w:t>
      </w:r>
    </w:p>
    <w:p w14:paraId="5A2118D4" w14:textId="40533155" w:rsidR="00DB1534" w:rsidRPr="00DA1529" w:rsidRDefault="00DB1534" w:rsidP="00DB1534">
      <w:pPr>
        <w:spacing w:line="288" w:lineRule="auto"/>
        <w:rPr>
          <w:rFonts w:ascii="Arial" w:hAnsi="Arial" w:cs="Arial"/>
          <w:szCs w:val="28"/>
        </w:rPr>
      </w:pPr>
      <w:r w:rsidRPr="00DA1529">
        <w:rPr>
          <w:rFonts w:ascii="Arial" w:hAnsi="Arial" w:cs="Arial"/>
          <w:szCs w:val="28"/>
        </w:rPr>
        <w:t xml:space="preserve">- Ministerio de </w:t>
      </w:r>
      <w:r w:rsidR="00681D5E" w:rsidRPr="00DA1529">
        <w:rPr>
          <w:rFonts w:ascii="Arial" w:hAnsi="Arial" w:cs="Arial"/>
          <w:szCs w:val="28"/>
        </w:rPr>
        <w:t>I</w:t>
      </w:r>
      <w:r w:rsidRPr="00DA1529">
        <w:rPr>
          <w:rFonts w:ascii="Arial" w:hAnsi="Arial" w:cs="Arial"/>
          <w:szCs w:val="28"/>
        </w:rPr>
        <w:t>nclusión, Seguridad Social</w:t>
      </w:r>
      <w:r w:rsidR="00135C83" w:rsidRPr="00DA1529">
        <w:rPr>
          <w:rFonts w:ascii="Arial" w:hAnsi="Arial" w:cs="Arial"/>
          <w:szCs w:val="28"/>
        </w:rPr>
        <w:t xml:space="preserve"> y Migraciones</w:t>
      </w:r>
      <w:r w:rsidR="006E70B7" w:rsidRPr="00DA1529">
        <w:rPr>
          <w:rFonts w:ascii="Arial" w:hAnsi="Arial" w:cs="Arial"/>
          <w:szCs w:val="28"/>
        </w:rPr>
        <w:t>.</w:t>
      </w:r>
      <w:r w:rsidR="000441AE" w:rsidRPr="00DA1529">
        <w:rPr>
          <w:rFonts w:ascii="Arial" w:hAnsi="Arial" w:cs="Arial"/>
          <w:szCs w:val="28"/>
        </w:rPr>
        <w:t xml:space="preserve"> </w:t>
      </w:r>
    </w:p>
    <w:p w14:paraId="42C26790" w14:textId="77777777" w:rsidR="00DB1534" w:rsidRPr="00DA1529" w:rsidRDefault="00DB1534" w:rsidP="00DB1534">
      <w:pPr>
        <w:spacing w:line="288" w:lineRule="auto"/>
        <w:rPr>
          <w:rFonts w:ascii="Arial" w:hAnsi="Arial" w:cs="Arial"/>
          <w:szCs w:val="28"/>
        </w:rPr>
      </w:pPr>
      <w:r w:rsidRPr="00DA1529">
        <w:rPr>
          <w:rFonts w:ascii="Arial" w:hAnsi="Arial" w:cs="Arial"/>
          <w:szCs w:val="28"/>
        </w:rPr>
        <w:t xml:space="preserve">- Ministerio de Asuntos Económicos y </w:t>
      </w:r>
      <w:r w:rsidR="00135C83" w:rsidRPr="00DA1529">
        <w:rPr>
          <w:rFonts w:ascii="Arial" w:hAnsi="Arial" w:cs="Arial"/>
          <w:szCs w:val="28"/>
        </w:rPr>
        <w:t>Transformación</w:t>
      </w:r>
      <w:r w:rsidRPr="00DA1529">
        <w:rPr>
          <w:rFonts w:ascii="Arial" w:hAnsi="Arial" w:cs="Arial"/>
          <w:szCs w:val="28"/>
        </w:rPr>
        <w:t xml:space="preserve"> Digital.</w:t>
      </w:r>
    </w:p>
    <w:p w14:paraId="23543A0D" w14:textId="1CD10A91" w:rsidR="00B71791" w:rsidRDefault="00DB1534" w:rsidP="009F7498">
      <w:pPr>
        <w:spacing w:line="288" w:lineRule="auto"/>
        <w:rPr>
          <w:rFonts w:ascii="Arial" w:hAnsi="Arial" w:cs="Arial"/>
          <w:szCs w:val="28"/>
        </w:rPr>
      </w:pPr>
      <w:r w:rsidRPr="00DA1529">
        <w:rPr>
          <w:rFonts w:ascii="Arial" w:hAnsi="Arial" w:cs="Arial"/>
          <w:szCs w:val="28"/>
        </w:rPr>
        <w:t>- Oficina de Coordinación y Calidad Normativa</w:t>
      </w:r>
      <w:r w:rsidR="00135C83" w:rsidRPr="00DA1529">
        <w:rPr>
          <w:rFonts w:ascii="Arial" w:hAnsi="Arial" w:cs="Arial"/>
          <w:szCs w:val="28"/>
        </w:rPr>
        <w:t>, dependiente del Ministerio de la Presidencia, Relaciones con las Cortes y Memoria Democrática</w:t>
      </w:r>
      <w:r w:rsidR="00CA0C07">
        <w:rPr>
          <w:rFonts w:ascii="Arial" w:hAnsi="Arial" w:cs="Arial"/>
          <w:szCs w:val="28"/>
        </w:rPr>
        <w:t>.</w:t>
      </w:r>
    </w:p>
    <w:p w14:paraId="41830813" w14:textId="77777777" w:rsidR="00B61B24" w:rsidRDefault="00B61B24" w:rsidP="00DB1534">
      <w:pPr>
        <w:spacing w:line="288" w:lineRule="auto"/>
        <w:rPr>
          <w:rFonts w:ascii="Arial" w:hAnsi="Arial" w:cs="Arial"/>
          <w:b/>
          <w:szCs w:val="28"/>
        </w:rPr>
      </w:pPr>
    </w:p>
    <w:p w14:paraId="5E45AB70" w14:textId="6E475489" w:rsidR="009957A6" w:rsidRPr="00ED133C" w:rsidRDefault="009957A6" w:rsidP="00DB1534">
      <w:pPr>
        <w:spacing w:line="288" w:lineRule="auto"/>
        <w:rPr>
          <w:rFonts w:ascii="Arial" w:hAnsi="Arial" w:cs="Arial"/>
          <w:b/>
          <w:szCs w:val="28"/>
        </w:rPr>
      </w:pPr>
      <w:r w:rsidRPr="00ED133C">
        <w:rPr>
          <w:rFonts w:ascii="Arial" w:hAnsi="Arial" w:cs="Arial"/>
          <w:b/>
          <w:szCs w:val="28"/>
        </w:rPr>
        <w:t>3. No se solicita dictamen del Consejo de Estado.</w:t>
      </w:r>
    </w:p>
    <w:p w14:paraId="31CEE318" w14:textId="77777777" w:rsidR="009957A6" w:rsidRPr="00ED133C" w:rsidRDefault="001F0B70" w:rsidP="009957A6">
      <w:pPr>
        <w:spacing w:line="288" w:lineRule="auto"/>
        <w:rPr>
          <w:rFonts w:ascii="Arial" w:hAnsi="Arial" w:cs="Arial"/>
          <w:szCs w:val="28"/>
        </w:rPr>
      </w:pPr>
      <w:r w:rsidRPr="00ED133C">
        <w:rPr>
          <w:rFonts w:ascii="Arial" w:hAnsi="Arial" w:cs="Arial"/>
          <w:szCs w:val="28"/>
        </w:rPr>
        <w:t>Tal y como se ha puesto de manifiesto en la tramitación de anteriores reales decretos de fijación del SMI, se debe tener en cuenta lo siguiente:</w:t>
      </w:r>
    </w:p>
    <w:p w14:paraId="68EAEFC6" w14:textId="77777777" w:rsidR="009957A6" w:rsidRPr="00ED133C" w:rsidRDefault="009957A6" w:rsidP="009957A6">
      <w:pPr>
        <w:spacing w:line="288" w:lineRule="auto"/>
        <w:rPr>
          <w:rFonts w:ascii="Arial" w:hAnsi="Arial" w:cs="Arial"/>
          <w:szCs w:val="28"/>
        </w:rPr>
      </w:pPr>
      <w:r w:rsidRPr="00ED133C">
        <w:rPr>
          <w:rFonts w:ascii="Arial" w:hAnsi="Arial" w:cs="Arial"/>
          <w:szCs w:val="28"/>
        </w:rPr>
        <w:t xml:space="preserve">1º) La parte dispositiva del proyecto de real decreto, no innova el </w:t>
      </w:r>
      <w:r w:rsidR="00681D5E" w:rsidRPr="00ED133C">
        <w:rPr>
          <w:rFonts w:ascii="Arial" w:hAnsi="Arial" w:cs="Arial"/>
          <w:szCs w:val="28"/>
        </w:rPr>
        <w:t>o</w:t>
      </w:r>
      <w:r w:rsidRPr="00ED133C">
        <w:rPr>
          <w:rFonts w:ascii="Arial" w:hAnsi="Arial" w:cs="Arial"/>
          <w:szCs w:val="28"/>
        </w:rPr>
        <w:t>rdenamiento jurídico por cuanto su contenido es prácticamente idéntico a los anteriores. Sólo se modifican las cuantías y, de acuerdo con la jurisprudencia del Tribunal Supremo</w:t>
      </w:r>
      <w:r w:rsidR="001F0B70" w:rsidRPr="00ED133C">
        <w:rPr>
          <w:rFonts w:ascii="Arial" w:hAnsi="Arial" w:cs="Arial"/>
          <w:szCs w:val="28"/>
        </w:rPr>
        <w:t xml:space="preserve"> (SSTS </w:t>
      </w:r>
      <w:r w:rsidR="00E12C60" w:rsidRPr="00ED133C">
        <w:rPr>
          <w:rFonts w:ascii="Arial" w:hAnsi="Arial" w:cs="Arial"/>
          <w:szCs w:val="28"/>
        </w:rPr>
        <w:t>4523/2015 y 4524/2015, ambas de 29 de octubre</w:t>
      </w:r>
      <w:r w:rsidR="00423B4F" w:rsidRPr="00ED133C">
        <w:rPr>
          <w:rFonts w:ascii="Arial" w:hAnsi="Arial" w:cs="Arial"/>
          <w:szCs w:val="28"/>
        </w:rPr>
        <w:t>;</w:t>
      </w:r>
      <w:r w:rsidR="00E12C60" w:rsidRPr="00ED133C">
        <w:rPr>
          <w:rFonts w:ascii="Arial" w:hAnsi="Arial" w:cs="Arial"/>
          <w:szCs w:val="28"/>
        </w:rPr>
        <w:t xml:space="preserve"> </w:t>
      </w:r>
      <w:r w:rsidR="00423B4F" w:rsidRPr="00ED133C">
        <w:rPr>
          <w:rFonts w:ascii="Arial" w:hAnsi="Arial" w:cs="Arial"/>
          <w:szCs w:val="28"/>
        </w:rPr>
        <w:t xml:space="preserve">593/2021, </w:t>
      </w:r>
      <w:r w:rsidR="00E12C60" w:rsidRPr="00ED133C">
        <w:rPr>
          <w:rFonts w:ascii="Arial" w:hAnsi="Arial" w:cs="Arial"/>
          <w:szCs w:val="28"/>
        </w:rPr>
        <w:t>de 29 de abril</w:t>
      </w:r>
      <w:r w:rsidR="00423B4F" w:rsidRPr="00ED133C">
        <w:rPr>
          <w:rFonts w:ascii="Arial" w:hAnsi="Arial" w:cs="Arial"/>
          <w:szCs w:val="28"/>
        </w:rPr>
        <w:t xml:space="preserve">; </w:t>
      </w:r>
      <w:r w:rsidR="00E12C60" w:rsidRPr="00ED133C">
        <w:rPr>
          <w:rFonts w:ascii="Arial" w:hAnsi="Arial" w:cs="Arial"/>
          <w:szCs w:val="28"/>
        </w:rPr>
        <w:t xml:space="preserve">y </w:t>
      </w:r>
      <w:r w:rsidR="00423B4F" w:rsidRPr="00ED133C">
        <w:rPr>
          <w:rFonts w:ascii="Arial" w:hAnsi="Arial" w:cs="Arial"/>
          <w:szCs w:val="28"/>
        </w:rPr>
        <w:t xml:space="preserve">642/2021, </w:t>
      </w:r>
      <w:r w:rsidR="00E12C60" w:rsidRPr="00ED133C">
        <w:rPr>
          <w:rFonts w:ascii="Arial" w:hAnsi="Arial" w:cs="Arial"/>
          <w:szCs w:val="28"/>
        </w:rPr>
        <w:t>de 6 de mayo</w:t>
      </w:r>
      <w:r w:rsidR="001F0B70" w:rsidRPr="00ED133C">
        <w:rPr>
          <w:rFonts w:ascii="Arial" w:hAnsi="Arial" w:cs="Arial"/>
          <w:szCs w:val="28"/>
        </w:rPr>
        <w:t>)</w:t>
      </w:r>
      <w:r w:rsidRPr="00ED133C">
        <w:rPr>
          <w:rFonts w:ascii="Arial" w:hAnsi="Arial" w:cs="Arial"/>
          <w:szCs w:val="28"/>
        </w:rPr>
        <w:t xml:space="preserve">, </w:t>
      </w:r>
      <w:r w:rsidR="00E12C60" w:rsidRPr="00ED133C">
        <w:rPr>
          <w:rFonts w:ascii="Arial" w:hAnsi="Arial" w:cs="Arial"/>
          <w:szCs w:val="28"/>
        </w:rPr>
        <w:t>e</w:t>
      </w:r>
      <w:r w:rsidRPr="00ED133C">
        <w:rPr>
          <w:rFonts w:ascii="Arial" w:hAnsi="Arial" w:cs="Arial"/>
          <w:szCs w:val="28"/>
        </w:rPr>
        <w:t>stas forman parte del contenido resolutivo de la disposición.</w:t>
      </w:r>
    </w:p>
    <w:p w14:paraId="17FD79E4" w14:textId="77777777" w:rsidR="009957A6" w:rsidRPr="00ED133C" w:rsidRDefault="009957A6" w:rsidP="009957A6">
      <w:pPr>
        <w:spacing w:line="288" w:lineRule="auto"/>
        <w:rPr>
          <w:rFonts w:ascii="Arial" w:hAnsi="Arial" w:cs="Arial"/>
          <w:szCs w:val="28"/>
        </w:rPr>
      </w:pPr>
      <w:r w:rsidRPr="00ED133C">
        <w:rPr>
          <w:rFonts w:ascii="Arial" w:hAnsi="Arial" w:cs="Arial"/>
          <w:szCs w:val="28"/>
        </w:rPr>
        <w:t xml:space="preserve">Teniendo en cuenta la vigencia temporal de los sucesivos reales decretos de SMI, que terminan de surtir efectos el día 31 de diciembre de cada año, la parte dispositiva no tiene otra función que mantener el mismo ordenamiento jurídico vigente a la fecha de su aprobación, garantizando así la seguridad jurídica de </w:t>
      </w:r>
      <w:r w:rsidR="00C37FA1" w:rsidRPr="00ED133C">
        <w:rPr>
          <w:rFonts w:ascii="Arial" w:hAnsi="Arial" w:cs="Arial"/>
          <w:szCs w:val="28"/>
        </w:rPr>
        <w:t>personas trabajadoras</w:t>
      </w:r>
      <w:r w:rsidRPr="00ED133C">
        <w:rPr>
          <w:rFonts w:ascii="Arial" w:hAnsi="Arial" w:cs="Arial"/>
          <w:szCs w:val="28"/>
        </w:rPr>
        <w:t xml:space="preserve"> y empresarios.</w:t>
      </w:r>
    </w:p>
    <w:p w14:paraId="7239D613" w14:textId="77777777" w:rsidR="009957A6" w:rsidRPr="00ED133C" w:rsidRDefault="009957A6" w:rsidP="009957A6">
      <w:pPr>
        <w:spacing w:line="288" w:lineRule="auto"/>
        <w:rPr>
          <w:rFonts w:ascii="Arial" w:hAnsi="Arial" w:cs="Arial"/>
          <w:szCs w:val="28"/>
        </w:rPr>
      </w:pPr>
      <w:r w:rsidRPr="00ED133C">
        <w:rPr>
          <w:rFonts w:ascii="Arial" w:hAnsi="Arial" w:cs="Arial"/>
          <w:szCs w:val="28"/>
        </w:rPr>
        <w:t>2º) De acuerdo con el Tribunal Supremo</w:t>
      </w:r>
      <w:r w:rsidR="00E12C60" w:rsidRPr="00ED133C">
        <w:rPr>
          <w:rFonts w:ascii="Arial" w:hAnsi="Arial" w:cs="Arial"/>
          <w:szCs w:val="28"/>
        </w:rPr>
        <w:t xml:space="preserve"> (STS 6838/2012, de 10 de octubre de 2012)</w:t>
      </w:r>
      <w:r w:rsidRPr="00ED133C">
        <w:rPr>
          <w:rFonts w:ascii="Arial" w:hAnsi="Arial" w:cs="Arial"/>
          <w:szCs w:val="28"/>
        </w:rPr>
        <w:t xml:space="preserve">, </w:t>
      </w:r>
      <w:r w:rsidRPr="00ED133C">
        <w:rPr>
          <w:rFonts w:ascii="Arial" w:hAnsi="Arial" w:cs="Arial"/>
          <w:i/>
          <w:szCs w:val="28"/>
        </w:rPr>
        <w:t>las garantías procedimentales establecidas para la elaboración de las disposiciones generales deben ser interpretadas funcional y teleológicamente</w:t>
      </w:r>
      <w:r w:rsidRPr="00ED133C">
        <w:rPr>
          <w:rFonts w:ascii="Arial" w:hAnsi="Arial" w:cs="Arial"/>
          <w:szCs w:val="28"/>
        </w:rPr>
        <w:t xml:space="preserve">. En virtud del artículo 2.1 de su </w:t>
      </w:r>
      <w:r w:rsidR="00681D5E" w:rsidRPr="00ED133C">
        <w:rPr>
          <w:rFonts w:ascii="Arial" w:hAnsi="Arial" w:cs="Arial"/>
          <w:szCs w:val="28"/>
        </w:rPr>
        <w:t>l</w:t>
      </w:r>
      <w:r w:rsidRPr="00ED133C">
        <w:rPr>
          <w:rFonts w:ascii="Arial" w:hAnsi="Arial" w:cs="Arial"/>
          <w:szCs w:val="28"/>
        </w:rPr>
        <w:t xml:space="preserve">ey </w:t>
      </w:r>
      <w:r w:rsidR="00681D5E" w:rsidRPr="00ED133C">
        <w:rPr>
          <w:rFonts w:ascii="Arial" w:hAnsi="Arial" w:cs="Arial"/>
          <w:szCs w:val="28"/>
        </w:rPr>
        <w:t>o</w:t>
      </w:r>
      <w:r w:rsidRPr="00ED133C">
        <w:rPr>
          <w:rFonts w:ascii="Arial" w:hAnsi="Arial" w:cs="Arial"/>
          <w:szCs w:val="28"/>
        </w:rPr>
        <w:t xml:space="preserve">rgánica, </w:t>
      </w:r>
      <w:r w:rsidRPr="00ED133C">
        <w:rPr>
          <w:rFonts w:ascii="Arial" w:hAnsi="Arial" w:cs="Arial"/>
          <w:i/>
          <w:szCs w:val="28"/>
        </w:rPr>
        <w:t>el Consejo de Estado velará por la observancia de la Constitución y del resto del ordenamiento jurídico. Valorará los aspectos de oportunidad y conveniencia cuando lo exijan la índole del asunto o lo solicite expresamente la autoridad consultante, así como la mayor eficacia de la Administración en el cumplimiento de sus fines</w:t>
      </w:r>
      <w:r w:rsidRPr="00ED133C">
        <w:rPr>
          <w:rFonts w:ascii="Arial" w:hAnsi="Arial" w:cs="Arial"/>
          <w:szCs w:val="28"/>
        </w:rPr>
        <w:t>.</w:t>
      </w:r>
    </w:p>
    <w:p w14:paraId="2FD68439" w14:textId="77777777" w:rsidR="009957A6" w:rsidRPr="00ED133C" w:rsidRDefault="009957A6" w:rsidP="001D577E">
      <w:pPr>
        <w:spacing w:line="288" w:lineRule="auto"/>
        <w:rPr>
          <w:rFonts w:ascii="Arial" w:hAnsi="Arial" w:cs="Arial"/>
          <w:szCs w:val="28"/>
        </w:rPr>
      </w:pPr>
      <w:r w:rsidRPr="00ED133C">
        <w:rPr>
          <w:rFonts w:ascii="Arial" w:hAnsi="Arial" w:cs="Arial"/>
          <w:szCs w:val="28"/>
        </w:rPr>
        <w:lastRenderedPageBreak/>
        <w:t>A este respecto, carecería de todo sentido someter a dictamen del Consejo de Estado una disposición cuyo contenido dispositivo o reglamentario se ha mantenido durante años inalterado.</w:t>
      </w:r>
    </w:p>
    <w:p w14:paraId="09B7C380" w14:textId="77777777" w:rsidR="001D45E9" w:rsidRPr="00ED133C" w:rsidRDefault="001D45E9" w:rsidP="00736CA5">
      <w:pPr>
        <w:spacing w:line="288" w:lineRule="auto"/>
        <w:rPr>
          <w:rFonts w:ascii="Arial" w:hAnsi="Arial" w:cs="Arial"/>
          <w:szCs w:val="28"/>
        </w:rPr>
      </w:pPr>
    </w:p>
    <w:p w14:paraId="69D3BDEB" w14:textId="2126E7FF" w:rsidR="00EB12E3" w:rsidRDefault="00B05DF3" w:rsidP="00736CA5">
      <w:pPr>
        <w:spacing w:line="288" w:lineRule="auto"/>
        <w:rPr>
          <w:rFonts w:ascii="Arial" w:hAnsi="Arial" w:cs="Arial"/>
          <w:b/>
          <w:szCs w:val="28"/>
          <w:u w:val="single"/>
        </w:rPr>
      </w:pPr>
      <w:r w:rsidRPr="00ED133C">
        <w:rPr>
          <w:rFonts w:ascii="Arial" w:hAnsi="Arial" w:cs="Arial"/>
          <w:b/>
          <w:szCs w:val="28"/>
        </w:rPr>
        <w:t>V</w:t>
      </w:r>
      <w:r w:rsidR="0012591D" w:rsidRPr="00ED133C">
        <w:rPr>
          <w:rFonts w:ascii="Arial" w:hAnsi="Arial" w:cs="Arial"/>
          <w:b/>
          <w:szCs w:val="28"/>
        </w:rPr>
        <w:t>I</w:t>
      </w:r>
      <w:r w:rsidRPr="00ED133C">
        <w:rPr>
          <w:rFonts w:ascii="Arial" w:hAnsi="Arial" w:cs="Arial"/>
          <w:b/>
          <w:szCs w:val="28"/>
        </w:rPr>
        <w:t>.</w:t>
      </w:r>
      <w:r w:rsidR="00B873F0" w:rsidRPr="00ED133C">
        <w:rPr>
          <w:rFonts w:ascii="Arial" w:hAnsi="Arial" w:cs="Arial"/>
          <w:b/>
          <w:szCs w:val="28"/>
        </w:rPr>
        <w:t xml:space="preserve"> </w:t>
      </w:r>
      <w:r w:rsidR="00B873F0" w:rsidRPr="00ED133C">
        <w:rPr>
          <w:rFonts w:ascii="Arial" w:hAnsi="Arial" w:cs="Arial"/>
          <w:b/>
          <w:szCs w:val="28"/>
          <w:u w:val="single"/>
        </w:rPr>
        <w:t>ANÁLISIS DE IMPACTOS</w:t>
      </w:r>
    </w:p>
    <w:p w14:paraId="6B0C25EE" w14:textId="77777777" w:rsidR="00B61B24" w:rsidRDefault="00B61B24" w:rsidP="00C05533">
      <w:pPr>
        <w:spacing w:line="288" w:lineRule="auto"/>
        <w:rPr>
          <w:rFonts w:ascii="Arial" w:hAnsi="Arial" w:cs="Arial"/>
          <w:b/>
          <w:szCs w:val="28"/>
        </w:rPr>
      </w:pPr>
    </w:p>
    <w:p w14:paraId="3640EA2C" w14:textId="4C181ECF" w:rsidR="00C05533" w:rsidRDefault="00C05533" w:rsidP="00C05533">
      <w:pPr>
        <w:spacing w:line="288" w:lineRule="auto"/>
        <w:rPr>
          <w:rFonts w:ascii="Arial" w:hAnsi="Arial" w:cs="Arial"/>
          <w:b/>
          <w:szCs w:val="28"/>
          <w:u w:val="single"/>
        </w:rPr>
      </w:pPr>
      <w:r w:rsidRPr="007B7798">
        <w:rPr>
          <w:rFonts w:ascii="Arial" w:hAnsi="Arial" w:cs="Arial"/>
          <w:b/>
          <w:szCs w:val="28"/>
        </w:rPr>
        <w:t xml:space="preserve">I. </w:t>
      </w:r>
      <w:r w:rsidRPr="007B7798">
        <w:rPr>
          <w:rFonts w:ascii="Arial" w:hAnsi="Arial" w:cs="Arial"/>
          <w:b/>
          <w:szCs w:val="28"/>
          <w:u w:val="single"/>
        </w:rPr>
        <w:t>IMPACTO ECONÓMICO</w:t>
      </w:r>
    </w:p>
    <w:p w14:paraId="5462D512" w14:textId="77777777" w:rsidR="00B61B24" w:rsidRPr="007B7798" w:rsidRDefault="00B61B24" w:rsidP="00C05533">
      <w:pPr>
        <w:spacing w:line="288" w:lineRule="auto"/>
        <w:rPr>
          <w:rFonts w:ascii="Arial" w:hAnsi="Arial" w:cs="Arial"/>
          <w:b/>
          <w:szCs w:val="28"/>
        </w:rPr>
      </w:pPr>
    </w:p>
    <w:p w14:paraId="73646AAE" w14:textId="77777777" w:rsidR="00C05533" w:rsidRPr="007B7798" w:rsidRDefault="00C05533" w:rsidP="00C05533">
      <w:pPr>
        <w:pStyle w:val="Prrafodelista"/>
        <w:numPr>
          <w:ilvl w:val="1"/>
          <w:numId w:val="24"/>
        </w:numPr>
        <w:spacing w:after="120"/>
        <w:jc w:val="both"/>
        <w:rPr>
          <w:rFonts w:ascii="Arial" w:hAnsi="Arial" w:cs="Arial"/>
          <w:i/>
          <w:iCs/>
          <w:sz w:val="28"/>
          <w:szCs w:val="28"/>
        </w:rPr>
      </w:pPr>
      <w:r w:rsidRPr="007B7798">
        <w:rPr>
          <w:rFonts w:ascii="Arial" w:hAnsi="Arial" w:cs="Arial"/>
          <w:i/>
          <w:iCs/>
          <w:sz w:val="28"/>
          <w:szCs w:val="28"/>
        </w:rPr>
        <w:t>Contexto Sociolaboral</w:t>
      </w:r>
    </w:p>
    <w:p w14:paraId="6E5D8719" w14:textId="77777777" w:rsidR="00C05533" w:rsidRPr="007B7798" w:rsidRDefault="00C05533" w:rsidP="00C05533">
      <w:pPr>
        <w:rPr>
          <w:rFonts w:ascii="Arial" w:hAnsi="Arial" w:cs="Arial"/>
          <w:szCs w:val="28"/>
        </w:rPr>
      </w:pPr>
      <w:r w:rsidRPr="007B7798">
        <w:rPr>
          <w:rFonts w:ascii="Arial" w:hAnsi="Arial" w:cs="Arial"/>
          <w:szCs w:val="28"/>
        </w:rPr>
        <w:t>El SMI en España actúa sobre la cuantía mínima que percibirá un trabajador por su jornada de trabajo a tiempo completo. Entre sus objetivos, se encuentran el atender el derecho a una remuneración equitativa y suficiente que proporcione a los trabajadores y sus familias un nivel de vida digno, y garantizar la capacidad adquisitiva de los salarios frente al coste de la vida, en especial en la actual situación de incremento de precios.</w:t>
      </w:r>
    </w:p>
    <w:p w14:paraId="1514CDE2" w14:textId="77777777" w:rsidR="00C05533" w:rsidRPr="007B7798" w:rsidRDefault="00C05533" w:rsidP="00C05533">
      <w:pPr>
        <w:rPr>
          <w:rFonts w:ascii="Arial" w:hAnsi="Arial" w:cs="Arial"/>
          <w:szCs w:val="28"/>
        </w:rPr>
      </w:pPr>
      <w:r w:rsidRPr="007B7798">
        <w:rPr>
          <w:rFonts w:ascii="Arial" w:hAnsi="Arial" w:cs="Arial"/>
          <w:szCs w:val="28"/>
        </w:rPr>
        <w:t>La revisión anual del SMI y su cuantía se abordan en el marco del diálogo social, de acuerdo con los criterios establecidos en el Estatuto de los Trabajadores y en línea con las recomendaciones internacionales. En este proceso, se incorporan elementos de valoración de índole económica, social y laboral, para ser fijado finalmente por el Gobierno, previa consulta con los interlocutores sociales.</w:t>
      </w:r>
    </w:p>
    <w:p w14:paraId="5A2B1E0F" w14:textId="77777777" w:rsidR="00C05533" w:rsidRPr="007B7798" w:rsidRDefault="00C05533" w:rsidP="00C05533">
      <w:pPr>
        <w:rPr>
          <w:rFonts w:ascii="Arial" w:hAnsi="Arial" w:cs="Arial"/>
          <w:szCs w:val="28"/>
        </w:rPr>
      </w:pPr>
      <w:bookmarkStart w:id="6" w:name="_Hlk153017288"/>
      <w:r w:rsidRPr="007B7798">
        <w:rPr>
          <w:rFonts w:ascii="Arial" w:hAnsi="Arial" w:cs="Arial"/>
          <w:szCs w:val="28"/>
        </w:rPr>
        <w:t>En el ámbito laboral, cabe destacar que España ha sido el país donde más empleo asalariado se ha creado entre los años 2018 y 2022 (último dato publicado por Eurostat), en los países de la UE, en cifras absolutas, por encima de países como Alemania, Francia o los Países Bajos.</w:t>
      </w:r>
      <w:bookmarkEnd w:id="6"/>
    </w:p>
    <w:p w14:paraId="432CFFD0" w14:textId="77777777" w:rsidR="00C05533" w:rsidRPr="007B7798" w:rsidRDefault="00C05533" w:rsidP="00C05533">
      <w:pPr>
        <w:pStyle w:val="Prrafodelista"/>
        <w:tabs>
          <w:tab w:val="left" w:pos="6150"/>
        </w:tabs>
        <w:spacing w:before="120" w:after="120"/>
        <w:ind w:left="284"/>
        <w:jc w:val="both"/>
        <w:rPr>
          <w:rFonts w:ascii="Arial" w:hAnsi="Arial" w:cs="Arial"/>
          <w:sz w:val="28"/>
          <w:szCs w:val="28"/>
        </w:rPr>
      </w:pPr>
      <w:r w:rsidRPr="007B7798">
        <w:rPr>
          <w:rFonts w:ascii="Arial" w:hAnsi="Arial" w:cs="Arial"/>
          <w:noProof/>
          <w:sz w:val="28"/>
          <w:szCs w:val="28"/>
        </w:rPr>
        <w:lastRenderedPageBreak/>
        <w:drawing>
          <wp:inline distT="0" distB="0" distL="0" distR="0" wp14:anchorId="7078D2CB" wp14:editId="663B9E7E">
            <wp:extent cx="6120130" cy="4200904"/>
            <wp:effectExtent l="0" t="0" r="0" b="0"/>
            <wp:docPr id="36" name="Imagen 36"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descr="Interfaz de usuario gráfica&#10;&#10;Descripción generada automáticamente con confianza m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4200904"/>
                    </a:xfrm>
                    <a:prstGeom prst="rect">
                      <a:avLst/>
                    </a:prstGeom>
                    <a:noFill/>
                  </pic:spPr>
                </pic:pic>
              </a:graphicData>
            </a:graphic>
          </wp:inline>
        </w:drawing>
      </w:r>
    </w:p>
    <w:p w14:paraId="305EAAA7" w14:textId="77777777" w:rsidR="00C05533" w:rsidRPr="007B7798" w:rsidRDefault="00C05533" w:rsidP="00C05533">
      <w:pPr>
        <w:ind w:left="426"/>
        <w:rPr>
          <w:rFonts w:ascii="Arial" w:hAnsi="Arial" w:cs="Arial"/>
          <w:szCs w:val="28"/>
        </w:rPr>
      </w:pPr>
      <w:r w:rsidRPr="007B7798">
        <w:rPr>
          <w:rFonts w:ascii="Arial" w:hAnsi="Arial" w:cs="Arial"/>
          <w:szCs w:val="28"/>
          <w:lang w:val="en-GB"/>
        </w:rPr>
        <w:t xml:space="preserve">Fuente: Eurostat, Labour Force Survey (LFS). </w:t>
      </w:r>
      <w:r w:rsidRPr="007B7798">
        <w:rPr>
          <w:rFonts w:ascii="Arial" w:hAnsi="Arial" w:cs="Arial"/>
          <w:szCs w:val="28"/>
        </w:rPr>
        <w:t xml:space="preserve">Asalariados. Media anual. De 15 a 64 años. </w:t>
      </w:r>
    </w:p>
    <w:p w14:paraId="3AC58536" w14:textId="77777777" w:rsidR="00C05533" w:rsidRPr="007B7798" w:rsidRDefault="00C05533" w:rsidP="00C05533">
      <w:pPr>
        <w:rPr>
          <w:rFonts w:ascii="Arial" w:hAnsi="Arial" w:cs="Arial"/>
          <w:szCs w:val="28"/>
        </w:rPr>
      </w:pPr>
    </w:p>
    <w:p w14:paraId="46943977" w14:textId="77777777" w:rsidR="00C05533" w:rsidRPr="007B7798" w:rsidRDefault="00C05533" w:rsidP="00C05533">
      <w:pPr>
        <w:rPr>
          <w:rFonts w:ascii="Arial" w:hAnsi="Arial" w:cs="Arial"/>
          <w:szCs w:val="28"/>
        </w:rPr>
      </w:pPr>
      <w:r w:rsidRPr="007B7798">
        <w:rPr>
          <w:rFonts w:ascii="Arial" w:hAnsi="Arial" w:cs="Arial"/>
          <w:szCs w:val="28"/>
        </w:rPr>
        <w:t xml:space="preserve">Además, este incremento del empleo asalariado en España incide en mayor medida entre los colectivos más vulnerables, que suelen ser los que reciben salarios más bajos. Tomando datos de la Encuesta de Población Activa (EPA) entre los años 2018 y 2023 a terceros trimestres (2023T3 es el último dato publicado), se constata que el empleo femenino creció más que el masculino (un 12,1% frente al 8,6%), que el empleo entre los menores de 30 años ha crecido más que entre los mayores de 30 años (un 14,8% frente al 7,9%) y que el empleo entre la población extranjera creció más que entre la población española (un 34,2% frente al 3,7%). Además, el empleo indefinido creció más que el temporal que de hecho ha descendido (un 25,7% frente al -30,6%), y el empleo a jornada completa creció más que el empleo a jornada parcial (un 12,3% frente al -1,6%). </w:t>
      </w:r>
    </w:p>
    <w:p w14:paraId="3F6D63B2" w14:textId="77777777" w:rsidR="00C05533" w:rsidRPr="007B7798" w:rsidRDefault="00C05533" w:rsidP="00C05533">
      <w:pPr>
        <w:pStyle w:val="Prrafodelista"/>
        <w:spacing w:after="120"/>
        <w:ind w:left="426"/>
        <w:jc w:val="both"/>
        <w:rPr>
          <w:rFonts w:ascii="Arial" w:hAnsi="Arial" w:cs="Arial"/>
          <w:sz w:val="28"/>
          <w:szCs w:val="28"/>
        </w:rPr>
      </w:pPr>
    </w:p>
    <w:p w14:paraId="629678DB" w14:textId="77777777" w:rsidR="00C05533" w:rsidRPr="007B7798" w:rsidRDefault="00C05533" w:rsidP="00C05533">
      <w:pPr>
        <w:rPr>
          <w:rFonts w:ascii="Arial" w:hAnsi="Arial" w:cs="Arial"/>
          <w:szCs w:val="28"/>
        </w:rPr>
      </w:pPr>
      <w:r w:rsidRPr="007B7798">
        <w:rPr>
          <w:rFonts w:ascii="Arial" w:hAnsi="Arial" w:cs="Arial"/>
          <w:szCs w:val="28"/>
        </w:rPr>
        <w:t xml:space="preserve">En términos salariales, a partir de la información de los deciles salariales de la EPA, el mayor incremento salarial acumulado en el periodo 2018-2022 se concentra en los deciles más bajos, es decir, entre los que menos salario perciben. Esta evolución está ligada al ritmo de crecimiento que ha experimentado el SMI en el mismo periodo, y destaca que la mejora salarial se concentra en la parte baja de la distribución de salarios, a diferencia del periodo </w:t>
      </w:r>
      <w:r w:rsidRPr="007B7798">
        <w:rPr>
          <w:rFonts w:ascii="Arial" w:hAnsi="Arial" w:cs="Arial"/>
          <w:szCs w:val="28"/>
        </w:rPr>
        <w:lastRenderedPageBreak/>
        <w:t>anterior</w:t>
      </w:r>
      <w:r>
        <w:rPr>
          <w:rFonts w:ascii="Arial" w:hAnsi="Arial" w:cs="Arial"/>
          <w:szCs w:val="28"/>
        </w:rPr>
        <w:t xml:space="preserve">, 2008-2018 </w:t>
      </w:r>
      <w:r w:rsidRPr="007B7798">
        <w:rPr>
          <w:rFonts w:ascii="Arial" w:hAnsi="Arial" w:cs="Arial"/>
          <w:szCs w:val="28"/>
        </w:rPr>
        <w:t xml:space="preserve">donde </w:t>
      </w:r>
      <w:r>
        <w:rPr>
          <w:rFonts w:ascii="Arial" w:hAnsi="Arial" w:cs="Arial"/>
          <w:szCs w:val="28"/>
        </w:rPr>
        <w:t xml:space="preserve">el mayor incremento salarial lo experimentaron los deciles medios y altos. </w:t>
      </w:r>
    </w:p>
    <w:p w14:paraId="41A7578E" w14:textId="77777777" w:rsidR="00C05533" w:rsidRPr="007B7798" w:rsidRDefault="00C05533" w:rsidP="00C05533">
      <w:pPr>
        <w:pStyle w:val="Prrafodelista"/>
        <w:spacing w:after="120"/>
        <w:ind w:left="426"/>
        <w:jc w:val="both"/>
        <w:rPr>
          <w:rFonts w:ascii="Arial" w:hAnsi="Arial" w:cs="Arial"/>
          <w:sz w:val="28"/>
          <w:szCs w:val="28"/>
        </w:rPr>
      </w:pPr>
    </w:p>
    <w:p w14:paraId="4BD6AEF0" w14:textId="77777777" w:rsidR="00C05533" w:rsidRPr="007B7798" w:rsidRDefault="00C05533" w:rsidP="00C05533">
      <w:pPr>
        <w:pStyle w:val="Prrafodelista"/>
        <w:spacing w:after="120"/>
        <w:ind w:left="426"/>
        <w:jc w:val="both"/>
        <w:rPr>
          <w:rFonts w:ascii="Arial" w:hAnsi="Arial" w:cs="Arial"/>
          <w:sz w:val="28"/>
          <w:szCs w:val="28"/>
        </w:rPr>
      </w:pPr>
      <w:r w:rsidRPr="007B7798">
        <w:rPr>
          <w:rFonts w:ascii="Arial" w:hAnsi="Arial" w:cs="Arial"/>
          <w:noProof/>
          <w:sz w:val="28"/>
          <w:szCs w:val="28"/>
        </w:rPr>
        <w:drawing>
          <wp:inline distT="0" distB="0" distL="0" distR="0" wp14:anchorId="183C4595" wp14:editId="5B4617A1">
            <wp:extent cx="5647903" cy="3705077"/>
            <wp:effectExtent l="0" t="0" r="0" b="0"/>
            <wp:docPr id="37" name="Imagen 3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7" descr="Logotipo&#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9564" cy="3725847"/>
                    </a:xfrm>
                    <a:prstGeom prst="rect">
                      <a:avLst/>
                    </a:prstGeom>
                    <a:noFill/>
                  </pic:spPr>
                </pic:pic>
              </a:graphicData>
            </a:graphic>
          </wp:inline>
        </w:drawing>
      </w:r>
    </w:p>
    <w:p w14:paraId="06020A8D" w14:textId="77777777" w:rsidR="00C05533" w:rsidRPr="007B7798" w:rsidRDefault="00C05533" w:rsidP="00C05533">
      <w:pPr>
        <w:pStyle w:val="Prrafodelista"/>
        <w:spacing w:after="120"/>
        <w:ind w:left="426"/>
        <w:jc w:val="both"/>
        <w:rPr>
          <w:rFonts w:ascii="Arial" w:hAnsi="Arial" w:cs="Arial"/>
          <w:sz w:val="28"/>
          <w:szCs w:val="28"/>
        </w:rPr>
      </w:pPr>
      <w:r w:rsidRPr="007B7798">
        <w:rPr>
          <w:rFonts w:ascii="Arial" w:hAnsi="Arial" w:cs="Arial"/>
          <w:sz w:val="28"/>
          <w:szCs w:val="28"/>
        </w:rPr>
        <w:t>Fuente: INE. EPA. Salarios del empleo principal</w:t>
      </w:r>
    </w:p>
    <w:p w14:paraId="175B8324" w14:textId="77777777" w:rsidR="00C05533" w:rsidRPr="007B7798" w:rsidRDefault="00C05533" w:rsidP="00C05533">
      <w:pPr>
        <w:pStyle w:val="Prrafodelista"/>
        <w:spacing w:after="120"/>
        <w:ind w:left="426"/>
        <w:jc w:val="both"/>
        <w:rPr>
          <w:rFonts w:ascii="Arial" w:hAnsi="Arial" w:cs="Arial"/>
          <w:sz w:val="28"/>
          <w:szCs w:val="28"/>
        </w:rPr>
      </w:pPr>
    </w:p>
    <w:p w14:paraId="2CC2AD3C" w14:textId="77777777" w:rsidR="00C05533" w:rsidRPr="007B7798" w:rsidRDefault="00C05533" w:rsidP="00C05533">
      <w:pPr>
        <w:rPr>
          <w:rFonts w:ascii="Arial" w:hAnsi="Arial" w:cs="Arial"/>
          <w:szCs w:val="28"/>
        </w:rPr>
      </w:pPr>
      <w:r w:rsidRPr="007B7798">
        <w:rPr>
          <w:rFonts w:ascii="Arial" w:hAnsi="Arial" w:cs="Arial"/>
          <w:szCs w:val="28"/>
        </w:rPr>
        <w:t xml:space="preserve">Los asalariados que más aumentan sus salarios son las mujeres (13,7%), los que trabajan a tiempo parcial (19,6%), los jóvenes (20,5%), los que tienen un contrato temporal (21,2%), los que tienen estudios primarios (21,7%) y los de nacionalidad extranjera (22,1%). </w:t>
      </w:r>
    </w:p>
    <w:p w14:paraId="437C9044" w14:textId="77777777" w:rsidR="00C05533" w:rsidRPr="007B7798" w:rsidRDefault="00C05533" w:rsidP="00C05533">
      <w:pPr>
        <w:pStyle w:val="Prrafodelista"/>
        <w:spacing w:after="120"/>
        <w:ind w:left="426"/>
        <w:jc w:val="both"/>
        <w:rPr>
          <w:rFonts w:ascii="Arial" w:hAnsi="Arial" w:cs="Arial"/>
          <w:sz w:val="28"/>
          <w:szCs w:val="28"/>
        </w:rPr>
      </w:pPr>
    </w:p>
    <w:p w14:paraId="1CB766C2" w14:textId="77777777" w:rsidR="00C05533" w:rsidRPr="007B7798" w:rsidRDefault="00C05533" w:rsidP="00C05533">
      <w:pPr>
        <w:rPr>
          <w:rFonts w:ascii="Arial" w:hAnsi="Arial" w:cs="Arial"/>
          <w:szCs w:val="28"/>
        </w:rPr>
      </w:pPr>
      <w:r w:rsidRPr="007B7798">
        <w:rPr>
          <w:rFonts w:ascii="Arial" w:hAnsi="Arial" w:cs="Arial"/>
          <w:szCs w:val="28"/>
        </w:rPr>
        <w:t>En el ámbito social, en términos de pobreza y desigualdad, la Encuesta de Condiciones de Vida (INE) para el año 2022, muestra una clara mejoría, ya que se han reducido muchos de los indicadores de desigualdad desde el periodo 2018 al 2022: disminuyen las tasas de población en riesgo de pobreza (-1,1 puntos porcentuales (</w:t>
      </w:r>
      <w:proofErr w:type="spellStart"/>
      <w:r w:rsidRPr="007B7798">
        <w:rPr>
          <w:rFonts w:ascii="Arial" w:hAnsi="Arial" w:cs="Arial"/>
          <w:szCs w:val="28"/>
        </w:rPr>
        <w:t>pp</w:t>
      </w:r>
      <w:proofErr w:type="spellEnd"/>
      <w:r w:rsidRPr="007B7798">
        <w:rPr>
          <w:rFonts w:ascii="Arial" w:hAnsi="Arial" w:cs="Arial"/>
          <w:szCs w:val="28"/>
        </w:rPr>
        <w:t xml:space="preserve">)), de población en hogares con baja intensidad en el empleo (-2,1 </w:t>
      </w:r>
      <w:proofErr w:type="spellStart"/>
      <w:r w:rsidRPr="007B7798">
        <w:rPr>
          <w:rFonts w:ascii="Arial" w:hAnsi="Arial" w:cs="Arial"/>
          <w:szCs w:val="28"/>
        </w:rPr>
        <w:t>pp</w:t>
      </w:r>
      <w:proofErr w:type="spellEnd"/>
      <w:r w:rsidRPr="007B7798">
        <w:rPr>
          <w:rFonts w:ascii="Arial" w:hAnsi="Arial" w:cs="Arial"/>
          <w:szCs w:val="28"/>
        </w:rPr>
        <w:t xml:space="preserve">), de población en carencia material y social severa (-1,0 </w:t>
      </w:r>
      <w:proofErr w:type="spellStart"/>
      <w:r w:rsidRPr="007B7798">
        <w:rPr>
          <w:rFonts w:ascii="Arial" w:hAnsi="Arial" w:cs="Arial"/>
          <w:szCs w:val="28"/>
        </w:rPr>
        <w:t>pp</w:t>
      </w:r>
      <w:proofErr w:type="spellEnd"/>
      <w:r w:rsidRPr="007B7798">
        <w:rPr>
          <w:rFonts w:ascii="Arial" w:hAnsi="Arial" w:cs="Arial"/>
          <w:szCs w:val="28"/>
        </w:rPr>
        <w:t xml:space="preserve">), el indicador AROPE que mide el riesgo de pobreza y exclusión (-1,3 </w:t>
      </w:r>
      <w:proofErr w:type="spellStart"/>
      <w:r w:rsidRPr="007B7798">
        <w:rPr>
          <w:rFonts w:ascii="Arial" w:hAnsi="Arial" w:cs="Arial"/>
          <w:szCs w:val="28"/>
        </w:rPr>
        <w:t>pp</w:t>
      </w:r>
      <w:proofErr w:type="spellEnd"/>
      <w:r w:rsidRPr="007B7798">
        <w:rPr>
          <w:rFonts w:ascii="Arial" w:hAnsi="Arial" w:cs="Arial"/>
          <w:szCs w:val="28"/>
        </w:rPr>
        <w:t xml:space="preserve">), la población de 16 a 29 años en riesgo de pobreza (-6,0 </w:t>
      </w:r>
      <w:proofErr w:type="spellStart"/>
      <w:r w:rsidRPr="007B7798">
        <w:rPr>
          <w:rFonts w:ascii="Arial" w:hAnsi="Arial" w:cs="Arial"/>
          <w:szCs w:val="28"/>
        </w:rPr>
        <w:t>pp</w:t>
      </w:r>
      <w:proofErr w:type="spellEnd"/>
      <w:r w:rsidRPr="007B7798">
        <w:rPr>
          <w:rFonts w:ascii="Arial" w:hAnsi="Arial" w:cs="Arial"/>
          <w:szCs w:val="28"/>
        </w:rPr>
        <w:t xml:space="preserve">) y el coeficiente de Gini que mide la desigualdad (-1,2  </w:t>
      </w:r>
      <w:proofErr w:type="spellStart"/>
      <w:r w:rsidRPr="007B7798">
        <w:rPr>
          <w:rFonts w:ascii="Arial" w:hAnsi="Arial" w:cs="Arial"/>
          <w:szCs w:val="28"/>
        </w:rPr>
        <w:t>pp</w:t>
      </w:r>
      <w:proofErr w:type="spellEnd"/>
      <w:r w:rsidRPr="007B7798">
        <w:rPr>
          <w:rFonts w:ascii="Arial" w:hAnsi="Arial" w:cs="Arial"/>
          <w:szCs w:val="28"/>
        </w:rPr>
        <w:t xml:space="preserve">). </w:t>
      </w:r>
    </w:p>
    <w:p w14:paraId="42EDE317" w14:textId="77777777" w:rsidR="00C05533" w:rsidRPr="007B7798" w:rsidRDefault="00C05533" w:rsidP="00C05533">
      <w:pPr>
        <w:pStyle w:val="Prrafodelista"/>
        <w:spacing w:after="120"/>
        <w:ind w:left="1146"/>
        <w:jc w:val="both"/>
        <w:rPr>
          <w:rFonts w:ascii="Arial" w:hAnsi="Arial" w:cs="Arial"/>
          <w:sz w:val="28"/>
          <w:szCs w:val="28"/>
        </w:rPr>
      </w:pPr>
    </w:p>
    <w:p w14:paraId="3B2DAF30" w14:textId="77777777" w:rsidR="00C05533" w:rsidRPr="007B7798" w:rsidRDefault="00C05533" w:rsidP="00C05533">
      <w:pPr>
        <w:pStyle w:val="Prrafodelista"/>
        <w:numPr>
          <w:ilvl w:val="1"/>
          <w:numId w:val="24"/>
        </w:numPr>
        <w:spacing w:after="120"/>
        <w:jc w:val="both"/>
        <w:rPr>
          <w:rFonts w:ascii="Arial" w:hAnsi="Arial" w:cs="Arial"/>
          <w:i/>
          <w:iCs/>
          <w:sz w:val="28"/>
          <w:szCs w:val="28"/>
        </w:rPr>
      </w:pPr>
      <w:r w:rsidRPr="007B7798">
        <w:rPr>
          <w:rFonts w:ascii="Arial" w:hAnsi="Arial" w:cs="Arial"/>
          <w:i/>
          <w:iCs/>
          <w:sz w:val="28"/>
          <w:szCs w:val="28"/>
        </w:rPr>
        <w:t>Evolución del Salario Mínimo Interprofesional</w:t>
      </w:r>
    </w:p>
    <w:p w14:paraId="62A6A95D"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Desde la entrada de España en la Unión Económica y Monetaria, se pueden distinguir distintas etapas en relación con la evolución del SMI:</w:t>
      </w:r>
    </w:p>
    <w:p w14:paraId="2EBC4853" w14:textId="77777777" w:rsidR="00C05533" w:rsidRPr="007B7798" w:rsidRDefault="00C05533" w:rsidP="00C05533">
      <w:pPr>
        <w:rPr>
          <w:rFonts w:ascii="Arial" w:hAnsi="Arial" w:cs="Arial"/>
          <w:szCs w:val="28"/>
        </w:rPr>
      </w:pPr>
      <w:r w:rsidRPr="007B7798">
        <w:rPr>
          <w:rFonts w:ascii="Arial" w:hAnsi="Arial" w:cs="Arial"/>
          <w:szCs w:val="28"/>
        </w:rPr>
        <w:lastRenderedPageBreak/>
        <w:t xml:space="preserve">La primera, comprende desde 1998 hasta junio de 2004, con crecimientos en torno al 2%. Desde junio de 2004 hasta 2009 siendo el SMI inferior a 600 euros, los crecimientos fueron más significativos y se situaron en torno al 5% de crecimiento anual. Entre los años 2010 y 2016, con un SMI inferior a 700 euros, se produce un casi estancamiento en el crecimiento, no superando el 1,5% de subida con respecto al año anterior, e incluso con un crecimiento nulo en los años 2012 y 2014, coincidiendo con los años más fuertes de la crisis económica iniciada en el 2008. </w:t>
      </w:r>
    </w:p>
    <w:p w14:paraId="082F7571" w14:textId="77777777" w:rsidR="00C05533" w:rsidRPr="007B7798" w:rsidRDefault="00C05533" w:rsidP="00C05533">
      <w:pPr>
        <w:rPr>
          <w:rFonts w:ascii="Arial" w:hAnsi="Arial" w:cs="Arial"/>
          <w:szCs w:val="28"/>
        </w:rPr>
      </w:pPr>
      <w:r w:rsidRPr="007B7798">
        <w:rPr>
          <w:rFonts w:ascii="Arial" w:hAnsi="Arial" w:cs="Arial"/>
          <w:szCs w:val="28"/>
        </w:rPr>
        <w:t xml:space="preserve">El último tramo comprende del 2017 al 2023. Ha supuesto el mayor crecimiento del SMI, más moderado en los años 2017 y 2018 (8% y 4% respectivamente) y con la mayor subida -récord- en el 2019 (un 22,3%). En el año 2023, el SMI ha alcanzado la cifra de 1.080 euros, lo que supone una variación anual del 8%. Desde el año 2018 hasta el 2023 se ha producido un incremento bruto de 344,1 euros, es decir, una subida del 46,8%.   </w:t>
      </w:r>
    </w:p>
    <w:p w14:paraId="1FB92900" w14:textId="77777777" w:rsidR="00C05533" w:rsidRPr="007B7798" w:rsidRDefault="00C05533" w:rsidP="00C05533">
      <w:pPr>
        <w:rPr>
          <w:rFonts w:ascii="Arial" w:hAnsi="Arial" w:cs="Arial"/>
          <w:szCs w:val="28"/>
        </w:rPr>
      </w:pPr>
      <w:r w:rsidRPr="007B7798">
        <w:rPr>
          <w:rFonts w:ascii="Arial" w:hAnsi="Arial" w:cs="Arial"/>
          <w:szCs w:val="28"/>
        </w:rPr>
        <w:t>En el gráfico siguiente se refleja la serie del SMI desde 1998 hasta la actualidad, 2023.</w:t>
      </w:r>
    </w:p>
    <w:p w14:paraId="1D669A47" w14:textId="77777777" w:rsidR="00C05533" w:rsidRPr="007B7798" w:rsidRDefault="00C05533" w:rsidP="00C05533">
      <w:pPr>
        <w:spacing w:line="276" w:lineRule="auto"/>
        <w:ind w:left="360"/>
        <w:jc w:val="center"/>
        <w:rPr>
          <w:rFonts w:ascii="Arial" w:hAnsi="Arial" w:cs="Arial"/>
          <w:szCs w:val="28"/>
        </w:rPr>
      </w:pPr>
      <w:r w:rsidRPr="007B7798">
        <w:rPr>
          <w:rFonts w:ascii="Arial" w:hAnsi="Arial" w:cs="Arial"/>
          <w:noProof/>
          <w:szCs w:val="28"/>
        </w:rPr>
        <w:drawing>
          <wp:inline distT="0" distB="0" distL="0" distR="0" wp14:anchorId="2B0565AA" wp14:editId="0919ED00">
            <wp:extent cx="5708801" cy="3229610"/>
            <wp:effectExtent l="0" t="0" r="6350" b="8890"/>
            <wp:docPr id="892638291" name="Imagen 89263829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38291" name="Imagen 892638291" descr="Gráfico&#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723" cy="3233526"/>
                    </a:xfrm>
                    <a:prstGeom prst="rect">
                      <a:avLst/>
                    </a:prstGeom>
                    <a:noFill/>
                  </pic:spPr>
                </pic:pic>
              </a:graphicData>
            </a:graphic>
          </wp:inline>
        </w:drawing>
      </w:r>
    </w:p>
    <w:p w14:paraId="04394EE4" w14:textId="77777777" w:rsidR="00C05533" w:rsidRPr="007B7798" w:rsidRDefault="00C05533" w:rsidP="00C05533">
      <w:pPr>
        <w:spacing w:line="276" w:lineRule="auto"/>
        <w:ind w:left="360"/>
        <w:rPr>
          <w:rFonts w:ascii="Arial" w:hAnsi="Arial" w:cs="Arial"/>
          <w:szCs w:val="28"/>
        </w:rPr>
      </w:pPr>
      <w:r w:rsidRPr="007B7798">
        <w:rPr>
          <w:rFonts w:ascii="Arial" w:hAnsi="Arial" w:cs="Arial"/>
          <w:szCs w:val="28"/>
        </w:rPr>
        <w:t>(*) Estos salarios corresponden a 14 mensualidades del SMI anual.</w:t>
      </w:r>
    </w:p>
    <w:p w14:paraId="2594440A"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Tomando como referencia los salarios del empleo principal de la EPA, se comparan las evoluciones de las series de salarios medios, medianos y SMI, con base el año 2007(año 2007= 100). Se observa que la evolución de las tres series ha sido muy similar hasta el año 2016, incrementándose el SMI en mayor medida desde el año 2017 y de forma mucho más acentuada a partir el año 2019. Uno de los motivos por los que el crecimiento es tan notable podría ser el bajo nivel del que se partía.</w:t>
      </w:r>
    </w:p>
    <w:p w14:paraId="44030AD9"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lastRenderedPageBreak/>
        <w:t xml:space="preserve">En el 2019 se produce la mayor subida del SMI, con un crecimiento interanual de 22,3%, que lo sitúa en 900 euros. Los salarios medio y mediano también experimentan una tendencia alcista, aunque de menor proporción.  En los años posteriores se repite el mismo patrón, siendo la subida del SMI mucho mayor que los salarios medio y mediano, ya que se partía de un nivel de SMI muy bajo tras el periodo de congelación. </w:t>
      </w:r>
    </w:p>
    <w:p w14:paraId="43C41128" w14:textId="77777777" w:rsidR="00C05533" w:rsidRPr="007B7798" w:rsidRDefault="00C05533" w:rsidP="00C05533">
      <w:pPr>
        <w:spacing w:line="276" w:lineRule="auto"/>
        <w:ind w:left="426"/>
        <w:rPr>
          <w:rFonts w:ascii="Arial" w:hAnsi="Arial" w:cs="Arial"/>
          <w:szCs w:val="28"/>
        </w:rPr>
      </w:pPr>
      <w:r w:rsidRPr="007B7798">
        <w:rPr>
          <w:rFonts w:ascii="Arial" w:hAnsi="Arial" w:cs="Arial"/>
          <w:szCs w:val="28"/>
        </w:rPr>
        <w:t xml:space="preserve"> </w:t>
      </w:r>
      <w:r w:rsidRPr="007B7798">
        <w:rPr>
          <w:rFonts w:ascii="Arial" w:hAnsi="Arial" w:cs="Arial"/>
          <w:szCs w:val="28"/>
        </w:rPr>
        <w:tab/>
      </w:r>
    </w:p>
    <w:p w14:paraId="53D2FBB4" w14:textId="77777777" w:rsidR="00C05533" w:rsidRPr="007B7798" w:rsidRDefault="00C05533" w:rsidP="00C05533">
      <w:pPr>
        <w:spacing w:line="276" w:lineRule="auto"/>
        <w:ind w:left="708"/>
        <w:jc w:val="center"/>
        <w:rPr>
          <w:rFonts w:ascii="Arial" w:hAnsi="Arial" w:cs="Arial"/>
          <w:szCs w:val="28"/>
        </w:rPr>
      </w:pPr>
      <w:r w:rsidRPr="007B7798">
        <w:rPr>
          <w:rFonts w:ascii="Arial" w:hAnsi="Arial" w:cs="Arial"/>
          <w:noProof/>
          <w:szCs w:val="28"/>
        </w:rPr>
        <w:drawing>
          <wp:inline distT="0" distB="0" distL="0" distR="0" wp14:anchorId="42A5BBFE" wp14:editId="6B29D271">
            <wp:extent cx="4643056" cy="2066925"/>
            <wp:effectExtent l="0" t="0" r="5715" b="0"/>
            <wp:docPr id="451310187" name="Imagen 45131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b="17866"/>
                    <a:stretch/>
                  </pic:blipFill>
                  <pic:spPr bwMode="auto">
                    <a:xfrm>
                      <a:off x="0" y="0"/>
                      <a:ext cx="4651147" cy="2070527"/>
                    </a:xfrm>
                    <a:prstGeom prst="rect">
                      <a:avLst/>
                    </a:prstGeom>
                    <a:noFill/>
                    <a:ln>
                      <a:noFill/>
                    </a:ln>
                    <a:extLst>
                      <a:ext uri="{53640926-AAD7-44D8-BBD7-CCE9431645EC}">
                        <a14:shadowObscured xmlns:a14="http://schemas.microsoft.com/office/drawing/2010/main"/>
                      </a:ext>
                    </a:extLst>
                  </pic:spPr>
                </pic:pic>
              </a:graphicData>
            </a:graphic>
          </wp:inline>
        </w:drawing>
      </w:r>
    </w:p>
    <w:p w14:paraId="600F0FDD" w14:textId="77777777" w:rsidR="00C05533" w:rsidRPr="007B7798" w:rsidRDefault="00C05533" w:rsidP="00C05533">
      <w:pPr>
        <w:spacing w:line="276" w:lineRule="auto"/>
        <w:ind w:firstLine="708"/>
        <w:rPr>
          <w:rFonts w:ascii="Arial" w:hAnsi="Arial" w:cs="Arial"/>
          <w:szCs w:val="28"/>
        </w:rPr>
      </w:pPr>
      <w:r w:rsidRPr="007B7798">
        <w:rPr>
          <w:rFonts w:ascii="Arial" w:hAnsi="Arial" w:cs="Arial"/>
          <w:b/>
          <w:szCs w:val="28"/>
        </w:rPr>
        <w:t>Fuente</w:t>
      </w:r>
      <w:r w:rsidRPr="007B7798">
        <w:rPr>
          <w:rFonts w:ascii="Arial" w:hAnsi="Arial" w:cs="Arial"/>
          <w:szCs w:val="28"/>
        </w:rPr>
        <w:t xml:space="preserve">: Elaboración propia a partir de datos de la EPA (INE). </w:t>
      </w:r>
    </w:p>
    <w:p w14:paraId="3CE08B92" w14:textId="77777777" w:rsidR="00C05533" w:rsidRPr="007B7798" w:rsidRDefault="00C05533" w:rsidP="00C05533">
      <w:pPr>
        <w:spacing w:line="276" w:lineRule="auto"/>
        <w:ind w:left="426"/>
        <w:rPr>
          <w:rFonts w:ascii="Arial" w:hAnsi="Arial" w:cs="Arial"/>
          <w:szCs w:val="28"/>
        </w:rPr>
      </w:pPr>
    </w:p>
    <w:p w14:paraId="0D57244D" w14:textId="77777777" w:rsidR="00C05533" w:rsidRPr="007B7798" w:rsidRDefault="00C05533" w:rsidP="00C05533">
      <w:pPr>
        <w:spacing w:line="276" w:lineRule="auto"/>
        <w:ind w:left="426"/>
        <w:jc w:val="center"/>
        <w:rPr>
          <w:rFonts w:ascii="Arial" w:hAnsi="Arial" w:cs="Arial"/>
          <w:szCs w:val="28"/>
        </w:rPr>
      </w:pPr>
      <w:r w:rsidRPr="007B7798">
        <w:rPr>
          <w:rFonts w:ascii="Arial" w:hAnsi="Arial" w:cs="Arial"/>
          <w:noProof/>
          <w:szCs w:val="28"/>
        </w:rPr>
        <w:drawing>
          <wp:inline distT="0" distB="0" distL="0" distR="0" wp14:anchorId="3E7B2AB8" wp14:editId="16229D74">
            <wp:extent cx="4800402" cy="4086860"/>
            <wp:effectExtent l="0" t="0" r="635" b="8890"/>
            <wp:docPr id="18" name="Imagen 18"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Gráfico&#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0402" cy="4086860"/>
                    </a:xfrm>
                    <a:prstGeom prst="rect">
                      <a:avLst/>
                    </a:prstGeom>
                    <a:noFill/>
                  </pic:spPr>
                </pic:pic>
              </a:graphicData>
            </a:graphic>
          </wp:inline>
        </w:drawing>
      </w:r>
    </w:p>
    <w:p w14:paraId="631863A7" w14:textId="77777777" w:rsidR="00C05533" w:rsidRPr="007B7798" w:rsidRDefault="00C05533" w:rsidP="00C05533">
      <w:pPr>
        <w:spacing w:line="276" w:lineRule="auto"/>
        <w:ind w:left="426" w:firstLine="708"/>
        <w:rPr>
          <w:rFonts w:ascii="Arial" w:hAnsi="Arial" w:cs="Arial"/>
          <w:szCs w:val="28"/>
        </w:rPr>
      </w:pPr>
      <w:r w:rsidRPr="007B7798">
        <w:rPr>
          <w:rFonts w:ascii="Arial" w:hAnsi="Arial" w:cs="Arial"/>
          <w:b/>
          <w:szCs w:val="28"/>
        </w:rPr>
        <w:t>Fuente</w:t>
      </w:r>
      <w:r w:rsidRPr="007B7798">
        <w:rPr>
          <w:rFonts w:ascii="Arial" w:hAnsi="Arial" w:cs="Arial"/>
          <w:szCs w:val="28"/>
        </w:rPr>
        <w:t>: Elaboración propia a partir de datos de la EPA (INE).</w:t>
      </w:r>
    </w:p>
    <w:p w14:paraId="39B3FB06" w14:textId="77777777" w:rsidR="00C05533" w:rsidRPr="007B7798" w:rsidRDefault="00C05533" w:rsidP="00C05533">
      <w:pPr>
        <w:pStyle w:val="Prrafodelista"/>
        <w:spacing w:after="120"/>
        <w:ind w:left="1146"/>
        <w:jc w:val="both"/>
        <w:rPr>
          <w:rFonts w:ascii="Arial" w:eastAsia="Times New Roman" w:hAnsi="Arial" w:cs="Arial"/>
          <w:b/>
          <w:bCs/>
          <w:sz w:val="28"/>
          <w:szCs w:val="28"/>
          <w:lang w:eastAsia="es-ES"/>
        </w:rPr>
      </w:pPr>
    </w:p>
    <w:p w14:paraId="48B1EA99" w14:textId="77777777" w:rsidR="00C05533" w:rsidRPr="007B7798" w:rsidRDefault="00C05533" w:rsidP="00C05533">
      <w:pPr>
        <w:pStyle w:val="Prrafodelista"/>
        <w:numPr>
          <w:ilvl w:val="0"/>
          <w:numId w:val="24"/>
        </w:numPr>
        <w:spacing w:after="120"/>
        <w:jc w:val="both"/>
        <w:rPr>
          <w:rFonts w:ascii="Arial" w:eastAsia="Times New Roman" w:hAnsi="Arial" w:cs="Arial"/>
          <w:b/>
          <w:bCs/>
          <w:i/>
          <w:iCs/>
          <w:sz w:val="28"/>
          <w:szCs w:val="28"/>
          <w:lang w:eastAsia="es-ES"/>
        </w:rPr>
      </w:pPr>
      <w:r w:rsidRPr="007B7798">
        <w:rPr>
          <w:rFonts w:ascii="Arial" w:eastAsia="Times New Roman" w:hAnsi="Arial" w:cs="Arial"/>
          <w:b/>
          <w:bCs/>
          <w:i/>
          <w:iCs/>
          <w:sz w:val="28"/>
          <w:szCs w:val="28"/>
          <w:lang w:eastAsia="es-ES"/>
        </w:rPr>
        <w:t>Factores determinantes para el cálculo del SMI</w:t>
      </w:r>
    </w:p>
    <w:p w14:paraId="6C81CC1E" w14:textId="77777777" w:rsidR="00C05533" w:rsidRPr="007B7798" w:rsidRDefault="00C05533" w:rsidP="00C05533">
      <w:pPr>
        <w:pStyle w:val="Prrafodelista"/>
        <w:spacing w:after="120"/>
        <w:ind w:left="786"/>
        <w:jc w:val="both"/>
        <w:rPr>
          <w:rFonts w:ascii="Arial" w:eastAsia="Times New Roman" w:hAnsi="Arial" w:cs="Arial"/>
          <w:b/>
          <w:bCs/>
          <w:i/>
          <w:iCs/>
          <w:sz w:val="28"/>
          <w:szCs w:val="28"/>
          <w:lang w:eastAsia="es-ES"/>
        </w:rPr>
      </w:pPr>
    </w:p>
    <w:p w14:paraId="4A808140" w14:textId="77777777" w:rsidR="00C05533" w:rsidRPr="007B7798" w:rsidRDefault="00C05533" w:rsidP="00C05533">
      <w:pPr>
        <w:pStyle w:val="Prrafodelista"/>
        <w:numPr>
          <w:ilvl w:val="1"/>
          <w:numId w:val="24"/>
        </w:numPr>
        <w:spacing w:after="120"/>
        <w:jc w:val="both"/>
        <w:rPr>
          <w:rFonts w:ascii="Arial" w:hAnsi="Arial" w:cs="Arial"/>
          <w:i/>
          <w:iCs/>
          <w:sz w:val="28"/>
          <w:szCs w:val="28"/>
        </w:rPr>
      </w:pPr>
      <w:r w:rsidRPr="007B7798">
        <w:rPr>
          <w:rFonts w:ascii="Arial" w:hAnsi="Arial" w:cs="Arial"/>
          <w:i/>
          <w:iCs/>
          <w:sz w:val="28"/>
          <w:szCs w:val="28"/>
        </w:rPr>
        <w:t>Determinación del SMI</w:t>
      </w:r>
    </w:p>
    <w:p w14:paraId="3EEB52E3" w14:textId="77777777" w:rsidR="00C05533" w:rsidRPr="007B7798" w:rsidRDefault="00C05533" w:rsidP="00C05533">
      <w:pPr>
        <w:spacing w:line="276" w:lineRule="auto"/>
        <w:rPr>
          <w:rFonts w:ascii="Arial" w:hAnsi="Arial" w:cs="Arial"/>
          <w:szCs w:val="28"/>
        </w:rPr>
      </w:pPr>
      <w:r w:rsidRPr="007B7798">
        <w:rPr>
          <w:rFonts w:ascii="Arial" w:hAnsi="Arial" w:cs="Arial"/>
          <w:szCs w:val="28"/>
        </w:rPr>
        <w:t>El artículo 27.1 del Estatuto de los Trabajadores</w:t>
      </w:r>
      <w:r w:rsidRPr="007B7798">
        <w:rPr>
          <w:rStyle w:val="Refdenotaalpie"/>
          <w:rFonts w:ascii="Arial" w:hAnsi="Arial" w:cs="Arial"/>
          <w:szCs w:val="28"/>
        </w:rPr>
        <w:footnoteReference w:id="2"/>
      </w:r>
      <w:r w:rsidRPr="007B7798">
        <w:rPr>
          <w:rFonts w:ascii="Arial" w:hAnsi="Arial" w:cs="Arial"/>
          <w:szCs w:val="28"/>
        </w:rPr>
        <w:t xml:space="preserve"> establece que el Gobierno fijará anualmente el SMI, previa consulta con los agentes sociales más representativos y teniendo en cuenta:</w:t>
      </w:r>
    </w:p>
    <w:p w14:paraId="64D791C0" w14:textId="77777777" w:rsidR="00C05533" w:rsidRPr="007B7798" w:rsidRDefault="00C05533" w:rsidP="00C05533">
      <w:pPr>
        <w:pStyle w:val="Prrafodelista"/>
        <w:numPr>
          <w:ilvl w:val="0"/>
          <w:numId w:val="23"/>
        </w:numPr>
        <w:spacing w:after="120"/>
        <w:ind w:left="1554"/>
        <w:contextualSpacing w:val="0"/>
        <w:rPr>
          <w:rFonts w:ascii="Arial" w:hAnsi="Arial" w:cs="Arial"/>
          <w:sz w:val="28"/>
          <w:szCs w:val="28"/>
        </w:rPr>
      </w:pPr>
      <w:r w:rsidRPr="007B7798">
        <w:rPr>
          <w:rFonts w:ascii="Arial" w:hAnsi="Arial" w:cs="Arial"/>
          <w:sz w:val="28"/>
          <w:szCs w:val="28"/>
        </w:rPr>
        <w:t>El índice de precios de consumo.</w:t>
      </w:r>
    </w:p>
    <w:p w14:paraId="3CFF50EF" w14:textId="77777777" w:rsidR="00C05533" w:rsidRPr="007B7798" w:rsidRDefault="00C05533" w:rsidP="00C05533">
      <w:pPr>
        <w:pStyle w:val="Prrafodelista"/>
        <w:numPr>
          <w:ilvl w:val="0"/>
          <w:numId w:val="23"/>
        </w:numPr>
        <w:spacing w:after="120"/>
        <w:ind w:left="1554"/>
        <w:contextualSpacing w:val="0"/>
        <w:rPr>
          <w:rFonts w:ascii="Arial" w:hAnsi="Arial" w:cs="Arial"/>
          <w:sz w:val="28"/>
          <w:szCs w:val="28"/>
        </w:rPr>
      </w:pPr>
      <w:r w:rsidRPr="007B7798">
        <w:rPr>
          <w:rFonts w:ascii="Arial" w:hAnsi="Arial" w:cs="Arial"/>
          <w:sz w:val="28"/>
          <w:szCs w:val="28"/>
        </w:rPr>
        <w:t>La productividad media nacional alcanzada.</w:t>
      </w:r>
    </w:p>
    <w:p w14:paraId="29D0C707" w14:textId="77777777" w:rsidR="00C05533" w:rsidRPr="007B7798" w:rsidRDefault="00C05533" w:rsidP="00C05533">
      <w:pPr>
        <w:pStyle w:val="Prrafodelista"/>
        <w:numPr>
          <w:ilvl w:val="0"/>
          <w:numId w:val="23"/>
        </w:numPr>
        <w:spacing w:after="120"/>
        <w:ind w:left="1554"/>
        <w:contextualSpacing w:val="0"/>
        <w:rPr>
          <w:rFonts w:ascii="Arial" w:hAnsi="Arial" w:cs="Arial"/>
          <w:sz w:val="28"/>
          <w:szCs w:val="28"/>
        </w:rPr>
      </w:pPr>
      <w:r w:rsidRPr="007B7798">
        <w:rPr>
          <w:rFonts w:ascii="Arial" w:hAnsi="Arial" w:cs="Arial"/>
          <w:sz w:val="28"/>
          <w:szCs w:val="28"/>
        </w:rPr>
        <w:t>El incremento en la participación del trabajo en la renta nacional.</w:t>
      </w:r>
    </w:p>
    <w:p w14:paraId="49702817" w14:textId="77777777" w:rsidR="00C05533" w:rsidRPr="007B7798" w:rsidRDefault="00C05533" w:rsidP="00C05533">
      <w:pPr>
        <w:pStyle w:val="Prrafodelista"/>
        <w:numPr>
          <w:ilvl w:val="0"/>
          <w:numId w:val="23"/>
        </w:numPr>
        <w:spacing w:after="120"/>
        <w:ind w:left="1554"/>
        <w:contextualSpacing w:val="0"/>
        <w:rPr>
          <w:rFonts w:ascii="Arial" w:hAnsi="Arial" w:cs="Arial"/>
          <w:sz w:val="28"/>
          <w:szCs w:val="28"/>
        </w:rPr>
      </w:pPr>
      <w:r w:rsidRPr="007B7798">
        <w:rPr>
          <w:rFonts w:ascii="Arial" w:hAnsi="Arial" w:cs="Arial"/>
          <w:sz w:val="28"/>
          <w:szCs w:val="28"/>
        </w:rPr>
        <w:t>La coyuntura económica general.</w:t>
      </w:r>
    </w:p>
    <w:p w14:paraId="6EBEDE4F" w14:textId="77777777" w:rsidR="00C05533" w:rsidRPr="007B7798" w:rsidRDefault="00C05533" w:rsidP="00C05533">
      <w:pPr>
        <w:spacing w:line="276" w:lineRule="auto"/>
        <w:rPr>
          <w:rFonts w:ascii="Arial" w:hAnsi="Arial" w:cs="Arial"/>
          <w:szCs w:val="28"/>
        </w:rPr>
      </w:pPr>
      <w:r w:rsidRPr="007B7798">
        <w:rPr>
          <w:rFonts w:ascii="Arial" w:hAnsi="Arial" w:cs="Arial"/>
          <w:szCs w:val="28"/>
        </w:rPr>
        <w:t>Añade, además, que se fijará una revisión semestral en caso de que no se cumplan las previsiones sobre el IPC.</w:t>
      </w:r>
    </w:p>
    <w:p w14:paraId="2B636261" w14:textId="77777777" w:rsidR="00C05533" w:rsidRPr="007B7798" w:rsidRDefault="00C05533" w:rsidP="00C05533">
      <w:pPr>
        <w:spacing w:line="276" w:lineRule="auto"/>
        <w:rPr>
          <w:rFonts w:ascii="Arial" w:hAnsi="Arial" w:cs="Arial"/>
          <w:szCs w:val="28"/>
        </w:rPr>
      </w:pPr>
      <w:r w:rsidRPr="007B7798">
        <w:rPr>
          <w:rFonts w:ascii="Arial" w:hAnsi="Arial" w:cs="Arial"/>
          <w:szCs w:val="28"/>
        </w:rPr>
        <w:t>La fijación del SMI, por tanto, debe realizarse a través de una valoración global de un conjunto de indicadores. La cuantía del SMI no es producto de una operación aritmética, sino de la ponderación de un conjunto de factores en un marco conceptual amplio que inciden en el contexto socioeconómico de las personas trabajadoras.</w:t>
      </w:r>
    </w:p>
    <w:p w14:paraId="1EC1E973" w14:textId="77777777" w:rsidR="00C05533" w:rsidRPr="007B7798" w:rsidRDefault="00C05533" w:rsidP="00C05533">
      <w:pPr>
        <w:spacing w:line="276" w:lineRule="auto"/>
        <w:rPr>
          <w:rFonts w:ascii="Arial" w:hAnsi="Arial" w:cs="Arial"/>
          <w:szCs w:val="28"/>
          <w:u w:val="single"/>
        </w:rPr>
      </w:pPr>
      <w:r w:rsidRPr="007B7798">
        <w:rPr>
          <w:rFonts w:ascii="Arial" w:hAnsi="Arial" w:cs="Arial"/>
          <w:szCs w:val="28"/>
        </w:rPr>
        <w:br/>
      </w:r>
      <w:r w:rsidRPr="007B7798">
        <w:rPr>
          <w:rFonts w:ascii="Arial" w:hAnsi="Arial" w:cs="Arial"/>
          <w:szCs w:val="28"/>
          <w:u w:val="single"/>
        </w:rPr>
        <w:t>La Comisión Asesora para el Análisis del SMI</w:t>
      </w:r>
    </w:p>
    <w:p w14:paraId="10259BD3" w14:textId="77777777" w:rsidR="00C05533" w:rsidRPr="007B7798" w:rsidRDefault="00C05533" w:rsidP="00C05533">
      <w:pPr>
        <w:spacing w:line="276" w:lineRule="auto"/>
        <w:rPr>
          <w:rFonts w:ascii="Arial" w:hAnsi="Arial" w:cs="Arial"/>
          <w:szCs w:val="28"/>
        </w:rPr>
      </w:pPr>
      <w:r w:rsidRPr="007B7798">
        <w:rPr>
          <w:rFonts w:ascii="Arial" w:hAnsi="Arial" w:cs="Arial"/>
          <w:szCs w:val="28"/>
        </w:rPr>
        <w:t xml:space="preserve">Además de fijar las cuantías a través del diálogo social, el 28 de enero de 2021 se constituyó la Comisión Asesora para el Análisis del SMI (CAASMI), con presencia de representantes de los Ministerios de Trabajo y Economía Social, Asuntos Económicos y Transformación Digital y de Hacienda, de los interlocutores sociales y de investigadores y expertos en la materia. </w:t>
      </w:r>
    </w:p>
    <w:p w14:paraId="0DD7A63A" w14:textId="77777777" w:rsidR="00C05533" w:rsidRPr="007B7798" w:rsidRDefault="00C05533" w:rsidP="00C05533">
      <w:pPr>
        <w:spacing w:line="276" w:lineRule="auto"/>
        <w:rPr>
          <w:rFonts w:ascii="Arial" w:hAnsi="Arial" w:cs="Arial"/>
          <w:szCs w:val="28"/>
        </w:rPr>
      </w:pPr>
      <w:r w:rsidRPr="007B7798">
        <w:rPr>
          <w:rFonts w:ascii="Arial" w:hAnsi="Arial" w:cs="Arial"/>
          <w:szCs w:val="28"/>
        </w:rPr>
        <w:t>Los objetivos de la Comisión en su primer mandato eran estimar el 60% del salario medio y la senda de crecimiento a seguir por el SMI durante el periodo 2021/2023, para dar cumplimiento al objetivo acordado por España en el proceso de aproximar la cuantía del SMI al 60% del salario medio, según recomienda la Carta Social Europea y desarrolla el Comité Europeo de Derechos Sociales.</w:t>
      </w:r>
    </w:p>
    <w:p w14:paraId="2510B7DE" w14:textId="77777777" w:rsidR="00C05533" w:rsidRPr="007B7798" w:rsidRDefault="00C05533" w:rsidP="00C05533">
      <w:pPr>
        <w:spacing w:line="276" w:lineRule="auto"/>
        <w:rPr>
          <w:rFonts w:ascii="Arial" w:hAnsi="Arial" w:cs="Arial"/>
          <w:szCs w:val="28"/>
        </w:rPr>
      </w:pPr>
      <w:r w:rsidRPr="007B7798">
        <w:rPr>
          <w:rFonts w:ascii="Arial" w:hAnsi="Arial" w:cs="Arial"/>
          <w:szCs w:val="28"/>
        </w:rPr>
        <w:lastRenderedPageBreak/>
        <w:t>En cuanto a la determinación del 60% del salario medio, el informe presentado en junio de 2021</w:t>
      </w:r>
      <w:r w:rsidRPr="007B7798">
        <w:rPr>
          <w:rStyle w:val="Refdenotaalpie"/>
          <w:rFonts w:ascii="Arial" w:hAnsi="Arial" w:cs="Arial"/>
          <w:szCs w:val="28"/>
        </w:rPr>
        <w:footnoteReference w:id="3"/>
      </w:r>
      <w:r w:rsidRPr="007B7798">
        <w:rPr>
          <w:rFonts w:ascii="Arial" w:hAnsi="Arial" w:cs="Arial"/>
          <w:szCs w:val="28"/>
        </w:rPr>
        <w:t xml:space="preserve"> proponía una horquilla de subida de entre el 6,4% y el 10,4% hasta el año 2023, lo que suponía un aumento de entre 61€ y 99€. En cuanto a la senda de crecimiento, el informe establecía distintos escenarios desde el punto de partida de 950€: una subida en 2021 entre 12 y 19 euros, en 2022 entre 24 y 40 euros y en 2023, entre 25 y 40 euros. </w:t>
      </w:r>
    </w:p>
    <w:p w14:paraId="0D6A8D5A" w14:textId="77777777" w:rsidR="00C05533" w:rsidRPr="007B7798" w:rsidRDefault="00C05533" w:rsidP="00C05533">
      <w:pPr>
        <w:spacing w:line="276" w:lineRule="auto"/>
        <w:rPr>
          <w:rFonts w:ascii="Arial" w:hAnsi="Arial" w:cs="Arial"/>
          <w:szCs w:val="28"/>
        </w:rPr>
      </w:pPr>
      <w:r w:rsidRPr="007B7798">
        <w:rPr>
          <w:rFonts w:ascii="Arial" w:hAnsi="Arial" w:cs="Arial"/>
          <w:szCs w:val="28"/>
        </w:rPr>
        <w:t>En su segundo mandato, la CAASMI tenía dos objetivos complementarios; estimar el salario medio correspondiente a 2022 para cumplir con las recomendaciones de la Carta Social Europea y establecer un SMI para 2023 que alcanzara el 60% del salario medio neto de 2022 y abordar el impacto potencial de la subida del SMI sobre los hogares pobres o en riesgo de pobreza.</w:t>
      </w:r>
    </w:p>
    <w:p w14:paraId="4BBD7708" w14:textId="77777777" w:rsidR="00C05533" w:rsidRPr="007B7798" w:rsidRDefault="00C05533" w:rsidP="00C05533">
      <w:pPr>
        <w:spacing w:line="276" w:lineRule="auto"/>
        <w:rPr>
          <w:rFonts w:ascii="Arial" w:hAnsi="Arial" w:cs="Arial"/>
          <w:szCs w:val="28"/>
        </w:rPr>
      </w:pPr>
      <w:r w:rsidRPr="007B7798">
        <w:rPr>
          <w:rFonts w:ascii="Arial" w:hAnsi="Arial" w:cs="Arial"/>
          <w:szCs w:val="28"/>
        </w:rPr>
        <w:t>En esta ocasión, la CAASMI presentó en su informe de diciembre de 2022</w:t>
      </w:r>
      <w:r w:rsidRPr="007B7798">
        <w:rPr>
          <w:rStyle w:val="Refdenotaalpie"/>
          <w:rFonts w:ascii="Arial" w:hAnsi="Arial" w:cs="Arial"/>
          <w:szCs w:val="28"/>
        </w:rPr>
        <w:footnoteReference w:id="4"/>
      </w:r>
      <w:r w:rsidRPr="007B7798">
        <w:rPr>
          <w:rFonts w:ascii="Arial" w:hAnsi="Arial" w:cs="Arial"/>
          <w:szCs w:val="28"/>
        </w:rPr>
        <w:t xml:space="preserve"> cuatro estimaciones posibles para el SMI 2023, cuyos valores serían 1.046, 1.054, 1.066 y 1.082 euros mensuales, en catorce pagas, correspondientes a cuatro simulaciones distintas a partir del salario medio neto a tiempo completo.</w:t>
      </w:r>
    </w:p>
    <w:p w14:paraId="3E8C56BB" w14:textId="77777777" w:rsidR="00C05533" w:rsidRPr="007B7798" w:rsidRDefault="00C05533" w:rsidP="00C05533">
      <w:pPr>
        <w:spacing w:line="276" w:lineRule="auto"/>
        <w:rPr>
          <w:rFonts w:ascii="Arial" w:hAnsi="Arial" w:cs="Arial"/>
          <w:szCs w:val="28"/>
        </w:rPr>
      </w:pPr>
      <w:r w:rsidRPr="007B7798">
        <w:rPr>
          <w:rFonts w:ascii="Arial" w:hAnsi="Arial" w:cs="Arial"/>
          <w:szCs w:val="28"/>
        </w:rPr>
        <w:t>El Ministerio de Trabajo y Economía Social, tras realizar las pertinentes consultas con los interlocutores sociales, y en línea con lo que se proponía en los diferentes informes de la CAASMI, aprobó finalmente para el primer año, en septiembre de 2021, un aumento de 15€ (SMI anual 965€</w:t>
      </w:r>
      <w:r>
        <w:rPr>
          <w:rFonts w:ascii="Arial" w:hAnsi="Arial" w:cs="Arial"/>
          <w:szCs w:val="28"/>
        </w:rPr>
        <w:t xml:space="preserve"> en 14 pagas</w:t>
      </w:r>
      <w:r w:rsidRPr="007B7798">
        <w:rPr>
          <w:rFonts w:ascii="Arial" w:hAnsi="Arial" w:cs="Arial"/>
          <w:szCs w:val="28"/>
        </w:rPr>
        <w:t xml:space="preserve">), en enero de 2022 un aumento de 35€ (SMI anual 1.000€) y un aumento de 80€ para 2023 (SMI anual de 1.080 €).   </w:t>
      </w:r>
    </w:p>
    <w:p w14:paraId="28E82232" w14:textId="77777777" w:rsidR="00C05533" w:rsidRPr="007B7798" w:rsidRDefault="00C05533" w:rsidP="00C05533">
      <w:pPr>
        <w:pStyle w:val="Prrafodelista"/>
        <w:numPr>
          <w:ilvl w:val="1"/>
          <w:numId w:val="24"/>
        </w:numPr>
        <w:spacing w:after="120"/>
        <w:jc w:val="both"/>
        <w:rPr>
          <w:rFonts w:ascii="Arial" w:hAnsi="Arial" w:cs="Arial"/>
          <w:i/>
          <w:iCs/>
          <w:sz w:val="28"/>
          <w:szCs w:val="28"/>
        </w:rPr>
      </w:pPr>
      <w:r w:rsidRPr="007B7798">
        <w:rPr>
          <w:rFonts w:ascii="Arial" w:hAnsi="Arial" w:cs="Arial"/>
          <w:i/>
          <w:iCs/>
          <w:sz w:val="28"/>
          <w:szCs w:val="28"/>
        </w:rPr>
        <w:t>Análisis de los factores determinantes del SMI</w:t>
      </w:r>
    </w:p>
    <w:p w14:paraId="6C749EF8" w14:textId="77777777" w:rsidR="00C05533" w:rsidRPr="007B7798" w:rsidRDefault="00C05533" w:rsidP="00C05533">
      <w:pPr>
        <w:spacing w:line="276" w:lineRule="auto"/>
        <w:ind w:left="426"/>
        <w:rPr>
          <w:rFonts w:ascii="Arial" w:hAnsi="Arial" w:cs="Arial"/>
          <w:i/>
          <w:iCs/>
          <w:szCs w:val="28"/>
        </w:rPr>
      </w:pPr>
      <w:r w:rsidRPr="007B7798">
        <w:rPr>
          <w:rFonts w:ascii="Arial" w:hAnsi="Arial" w:cs="Arial"/>
          <w:i/>
          <w:iCs/>
          <w:szCs w:val="28"/>
        </w:rPr>
        <w:t>2.2.1. El IPC</w:t>
      </w:r>
    </w:p>
    <w:p w14:paraId="510382E2" w14:textId="77777777" w:rsidR="00C05533" w:rsidRPr="007B7798" w:rsidRDefault="00C05533" w:rsidP="00C05533">
      <w:pPr>
        <w:spacing w:line="276" w:lineRule="auto"/>
        <w:ind w:left="426"/>
        <w:rPr>
          <w:rFonts w:ascii="Arial" w:hAnsi="Arial" w:cs="Arial"/>
          <w:i/>
          <w:szCs w:val="28"/>
        </w:rPr>
      </w:pPr>
      <w:r w:rsidRPr="007B7798">
        <w:rPr>
          <w:rFonts w:ascii="Arial" w:hAnsi="Arial" w:cs="Arial"/>
          <w:i/>
          <w:noProof/>
          <w:szCs w:val="28"/>
        </w:rPr>
        <w:lastRenderedPageBreak/>
        <w:drawing>
          <wp:inline distT="0" distB="0" distL="0" distR="0" wp14:anchorId="48FF1EFE" wp14:editId="7E54C46C">
            <wp:extent cx="5871210" cy="2529840"/>
            <wp:effectExtent l="0" t="0" r="0" b="3810"/>
            <wp:docPr id="19" name="Imagen 19"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Gráfico, Gráfico de líneas&#10;&#10;Descripción generada automá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71210" cy="2529840"/>
                    </a:xfrm>
                    <a:prstGeom prst="rect">
                      <a:avLst/>
                    </a:prstGeom>
                    <a:noFill/>
                  </pic:spPr>
                </pic:pic>
              </a:graphicData>
            </a:graphic>
          </wp:inline>
        </w:drawing>
      </w:r>
    </w:p>
    <w:p w14:paraId="0EC0FC6F" w14:textId="77777777" w:rsidR="00C05533" w:rsidRPr="007B7798" w:rsidRDefault="00C05533" w:rsidP="00C05533">
      <w:pPr>
        <w:spacing w:line="276" w:lineRule="auto"/>
        <w:ind w:firstLine="426"/>
        <w:rPr>
          <w:rFonts w:ascii="Arial" w:hAnsi="Arial" w:cs="Arial"/>
          <w:szCs w:val="28"/>
        </w:rPr>
      </w:pPr>
      <w:r w:rsidRPr="007B7798">
        <w:rPr>
          <w:rFonts w:ascii="Arial" w:hAnsi="Arial" w:cs="Arial"/>
          <w:b/>
          <w:szCs w:val="28"/>
        </w:rPr>
        <w:t xml:space="preserve"> FUENTE</w:t>
      </w:r>
      <w:r w:rsidRPr="007B7798">
        <w:rPr>
          <w:rFonts w:ascii="Arial" w:hAnsi="Arial" w:cs="Arial"/>
          <w:szCs w:val="28"/>
        </w:rPr>
        <w:t xml:space="preserve">: Elaboración propia a partir de los datos del IPC (INE) </w:t>
      </w:r>
    </w:p>
    <w:p w14:paraId="1CA0EA1F" w14:textId="77777777" w:rsidR="00C05533" w:rsidRPr="007B7798" w:rsidRDefault="00C05533" w:rsidP="00C05533">
      <w:pPr>
        <w:spacing w:line="276" w:lineRule="auto"/>
        <w:ind w:firstLine="708"/>
        <w:rPr>
          <w:rFonts w:ascii="Arial" w:hAnsi="Arial" w:cs="Arial"/>
          <w:szCs w:val="28"/>
        </w:rPr>
      </w:pPr>
      <w:r w:rsidRPr="007B7798">
        <w:rPr>
          <w:rFonts w:ascii="Arial" w:hAnsi="Arial" w:cs="Arial"/>
          <w:szCs w:val="28"/>
        </w:rPr>
        <w:t>* El dato de 2023 corresponde a la media de enero a noviembre</w:t>
      </w:r>
    </w:p>
    <w:p w14:paraId="644258CA" w14:textId="77777777" w:rsidR="00C05533" w:rsidRPr="007B7798" w:rsidRDefault="00C05533" w:rsidP="00C05533">
      <w:pPr>
        <w:spacing w:after="200" w:line="276" w:lineRule="auto"/>
        <w:rPr>
          <w:rFonts w:ascii="Arial" w:hAnsi="Arial" w:cs="Arial"/>
          <w:szCs w:val="28"/>
        </w:rPr>
      </w:pPr>
      <w:r w:rsidRPr="007B7798">
        <w:rPr>
          <w:rFonts w:ascii="Arial" w:hAnsi="Arial" w:cs="Arial"/>
          <w:i/>
          <w:szCs w:val="28"/>
        </w:rPr>
        <w:br/>
      </w:r>
      <w:r w:rsidRPr="007B7798">
        <w:rPr>
          <w:rFonts w:ascii="Arial" w:hAnsi="Arial" w:cs="Arial"/>
          <w:szCs w:val="28"/>
        </w:rPr>
        <w:t>Tras un largo periodo de inflación negativa, entre el último trimestre de 2013 y finales de 2016, el índice de precios retornó a tasas positivas, situándose en torno al 2% en 2017. Desde 2017, la inflación ha sido positiva -con el mínimo de 0,1% en octubre de 2019- hasta abril de 2020, cuando, debido a la crisis COVID, la inflación pasó de nuevo a ser negativa, cerrando el año con una tasa del -0,3%. En 2021, se inició de nuevo una tendencia ascendente, hasta alcanzar un 8,4% de promedio en el año 2022.</w:t>
      </w:r>
    </w:p>
    <w:p w14:paraId="605519B1"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La influencia de la guerra en Ucrania -que comenzó en febrero en 2022- supuso un punto de inflexión en lo que al índice de precios se refiere, propiciando que se alcanzasen índices máximos históricos no vistos en más de 35 años.  Así, en marzo de 2022 se alcanzó una variación anual del índice general del 9,8%, llegando a los dos dígitos durante los meses de junio, julio y agosto, e influenciada principalmente por las subidas de las materias primas, bienes intermedios, energía y combustibles. El año 2022 cerró con una variación del 8,4% en media anual. En cuanto a 2023, el índice general ha ido descendiendo, con ligeras fluctuaciones, hasta cerrar diciembre en una tasa del 3,1%, y registrar una variación interanual del 3,54%). Las previsiones situarían la inflación estimada para 2024 entre el 3,4% (Comisión Europea) y el 4,3% (Banco de España).</w:t>
      </w:r>
    </w:p>
    <w:p w14:paraId="3BC7931D"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 xml:space="preserve">Comparando la variación del IPC y el crecimiento interanual del SMI, se observa que durante 2004 y 2009 el crecimiento del SMI fue superior al del IPC. En años anteriores la subida del SMI se situaba en torno al 2% y es en el 2004, como se ha indicado con anterioridad, cuando comienza a acumular incrementos más </w:t>
      </w:r>
      <w:r w:rsidRPr="007B7798">
        <w:rPr>
          <w:rFonts w:ascii="Arial" w:hAnsi="Arial" w:cs="Arial"/>
          <w:szCs w:val="28"/>
        </w:rPr>
        <w:lastRenderedPageBreak/>
        <w:t xml:space="preserve">importantes, superando a la subida del IPC, situado en torno al 3% en dicho periodo.  </w:t>
      </w:r>
    </w:p>
    <w:p w14:paraId="72638404" w14:textId="77777777" w:rsidR="00C05533" w:rsidRPr="007B7798" w:rsidRDefault="00C05533" w:rsidP="00C05533">
      <w:pPr>
        <w:spacing w:line="276" w:lineRule="auto"/>
        <w:rPr>
          <w:rFonts w:ascii="Arial" w:hAnsi="Arial" w:cs="Arial"/>
          <w:szCs w:val="28"/>
        </w:rPr>
      </w:pPr>
      <w:r w:rsidRPr="007B7798">
        <w:rPr>
          <w:rFonts w:ascii="Arial" w:hAnsi="Arial" w:cs="Arial"/>
          <w:szCs w:val="28"/>
        </w:rPr>
        <w:t xml:space="preserve">Con la llegada de la crisis financiera de 2008, en 2010 se produce prácticamente una congelación en el SMI y, aunque la serie del IPC no sufre unas variaciones importantes, la diferencia entre ambas subidas llega al -2,4% en el 2012 coincidiendo con una variación de un 0% en el SMI.  </w:t>
      </w:r>
    </w:p>
    <w:p w14:paraId="6ECC8E67" w14:textId="77777777" w:rsidR="00C05533" w:rsidRPr="007B7798" w:rsidRDefault="00C05533" w:rsidP="00C05533">
      <w:pPr>
        <w:spacing w:line="276" w:lineRule="auto"/>
        <w:ind w:left="426"/>
        <w:rPr>
          <w:rFonts w:ascii="Arial" w:hAnsi="Arial" w:cs="Arial"/>
          <w:szCs w:val="28"/>
        </w:rPr>
      </w:pPr>
    </w:p>
    <w:p w14:paraId="387FF67C" w14:textId="77777777" w:rsidR="00C05533" w:rsidRPr="007B7798" w:rsidRDefault="00C05533" w:rsidP="00C05533">
      <w:pPr>
        <w:spacing w:line="276" w:lineRule="auto"/>
        <w:ind w:left="426"/>
        <w:rPr>
          <w:rFonts w:ascii="Arial" w:hAnsi="Arial" w:cs="Arial"/>
          <w:szCs w:val="28"/>
        </w:rPr>
      </w:pPr>
      <w:r w:rsidRPr="007B7798">
        <w:rPr>
          <w:rFonts w:ascii="Arial" w:hAnsi="Arial" w:cs="Arial"/>
          <w:noProof/>
          <w:szCs w:val="28"/>
        </w:rPr>
        <w:drawing>
          <wp:inline distT="0" distB="0" distL="0" distR="0" wp14:anchorId="15004E63" wp14:editId="47CBD5DA">
            <wp:extent cx="5772785" cy="2663825"/>
            <wp:effectExtent l="0" t="0" r="0" b="3175"/>
            <wp:docPr id="1506551663" name="Imagen 150655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785" cy="2663825"/>
                    </a:xfrm>
                    <a:prstGeom prst="rect">
                      <a:avLst/>
                    </a:prstGeom>
                    <a:noFill/>
                    <a:ln>
                      <a:noFill/>
                    </a:ln>
                  </pic:spPr>
                </pic:pic>
              </a:graphicData>
            </a:graphic>
          </wp:inline>
        </w:drawing>
      </w:r>
    </w:p>
    <w:p w14:paraId="201FD0A2" w14:textId="77777777" w:rsidR="00C05533" w:rsidRPr="007B7798" w:rsidRDefault="00C05533" w:rsidP="00C05533">
      <w:pPr>
        <w:spacing w:line="276" w:lineRule="auto"/>
        <w:ind w:firstLine="708"/>
        <w:rPr>
          <w:rFonts w:ascii="Arial" w:hAnsi="Arial" w:cs="Arial"/>
          <w:szCs w:val="28"/>
        </w:rPr>
      </w:pPr>
      <w:r w:rsidRPr="007B7798">
        <w:rPr>
          <w:rFonts w:ascii="Arial" w:hAnsi="Arial" w:cs="Arial"/>
          <w:b/>
          <w:szCs w:val="28"/>
        </w:rPr>
        <w:t xml:space="preserve">           </w:t>
      </w:r>
      <w:bookmarkStart w:id="7" w:name="_Hlk81479697"/>
      <w:r w:rsidRPr="007B7798">
        <w:rPr>
          <w:rFonts w:ascii="Arial" w:hAnsi="Arial" w:cs="Arial"/>
          <w:b/>
          <w:szCs w:val="28"/>
        </w:rPr>
        <w:t>Fuente</w:t>
      </w:r>
      <w:r w:rsidRPr="007B7798">
        <w:rPr>
          <w:rFonts w:ascii="Arial" w:hAnsi="Arial" w:cs="Arial"/>
          <w:szCs w:val="28"/>
        </w:rPr>
        <w:t>: INE y MITES</w:t>
      </w:r>
      <w:bookmarkEnd w:id="7"/>
    </w:p>
    <w:p w14:paraId="7F93ABAB" w14:textId="77777777" w:rsidR="00C05533" w:rsidRPr="007B7798" w:rsidRDefault="00C05533" w:rsidP="00C05533">
      <w:pPr>
        <w:spacing w:line="276" w:lineRule="auto"/>
        <w:ind w:left="426"/>
        <w:rPr>
          <w:rFonts w:ascii="Arial" w:hAnsi="Arial" w:cs="Arial"/>
          <w:szCs w:val="28"/>
        </w:rPr>
      </w:pPr>
    </w:p>
    <w:p w14:paraId="5F2DB0A3"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 xml:space="preserve">En 2014 comienza un periodo positivo en el que el SMI crece más que los precios. En los primeros años se debe a una inflación negativa siendo las subidas del SMI bajas, en torno al 0,5%. Desde 2017 a 2020 se producen las mayores subidas del SMI, no superadas por una inflación baja e incluso negativa en 2020. </w:t>
      </w:r>
    </w:p>
    <w:p w14:paraId="76DE3E3E"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 xml:space="preserve">La mayor diferencia se produce en 2019, con la subida de más de un 22% del SMI con respecto al año anterior. En la última etapa, destacan los niveles elevados de IPC que no son superados por las importantes subidas del SMI, de modo que en 2022 los precios subieron 4,8 </w:t>
      </w:r>
      <w:proofErr w:type="spellStart"/>
      <w:r w:rsidRPr="007B7798">
        <w:rPr>
          <w:rFonts w:ascii="Arial" w:hAnsi="Arial" w:cs="Arial"/>
          <w:szCs w:val="28"/>
        </w:rPr>
        <w:t>pp</w:t>
      </w:r>
      <w:proofErr w:type="spellEnd"/>
      <w:r w:rsidRPr="007B7798">
        <w:rPr>
          <w:rFonts w:ascii="Arial" w:hAnsi="Arial" w:cs="Arial"/>
          <w:szCs w:val="28"/>
        </w:rPr>
        <w:t xml:space="preserve"> más que el SMI. En 2023 los niveles del IPC se van moderando, lo que, contrarrestado con una subida del SMI del 8%, supone un diferencial de más de 4 puntos en positivo</w:t>
      </w:r>
      <w:r>
        <w:rPr>
          <w:rFonts w:ascii="Arial" w:hAnsi="Arial" w:cs="Arial"/>
          <w:szCs w:val="28"/>
        </w:rPr>
        <w:t>, que recuperaría parte de la pérdida del año anterior.</w:t>
      </w:r>
    </w:p>
    <w:p w14:paraId="4706D958" w14:textId="77777777" w:rsidR="00C05533" w:rsidRPr="007B7798" w:rsidRDefault="00C05533" w:rsidP="00C05533">
      <w:pPr>
        <w:tabs>
          <w:tab w:val="left" w:pos="495"/>
        </w:tabs>
        <w:spacing w:after="200" w:line="276" w:lineRule="auto"/>
        <w:rPr>
          <w:rFonts w:ascii="Arial" w:hAnsi="Arial" w:cs="Arial"/>
          <w:szCs w:val="28"/>
        </w:rPr>
      </w:pPr>
      <w:r w:rsidRPr="007B7798">
        <w:rPr>
          <w:rFonts w:ascii="Arial" w:hAnsi="Arial" w:cs="Arial"/>
          <w:szCs w:val="28"/>
        </w:rPr>
        <w:t xml:space="preserve">Analizando los salarios a partir de la información de negociación colectiva, la variación del IPC y de los salarios pactados era muy similar antes de la crisis del 2008, situándose ambas series en torno a un 3% de crecimiento. En 2009, </w:t>
      </w:r>
      <w:r w:rsidRPr="007B7798">
        <w:rPr>
          <w:rFonts w:ascii="Arial" w:hAnsi="Arial" w:cs="Arial"/>
          <w:szCs w:val="28"/>
        </w:rPr>
        <w:lastRenderedPageBreak/>
        <w:t xml:space="preserve">aunque se modera la variación salarial pactada, ésta supera al IPC, cuya tasa toma valores negativos. </w:t>
      </w:r>
    </w:p>
    <w:p w14:paraId="6CCCD284" w14:textId="77777777" w:rsidR="00C05533" w:rsidRPr="007B7798" w:rsidRDefault="00C05533" w:rsidP="00C05533">
      <w:pPr>
        <w:tabs>
          <w:tab w:val="left" w:pos="495"/>
        </w:tabs>
        <w:spacing w:after="200" w:line="276" w:lineRule="auto"/>
        <w:rPr>
          <w:rFonts w:ascii="Arial" w:hAnsi="Arial" w:cs="Arial"/>
          <w:szCs w:val="28"/>
        </w:rPr>
      </w:pPr>
      <w:r w:rsidRPr="007B7798">
        <w:rPr>
          <w:rFonts w:ascii="Arial" w:hAnsi="Arial" w:cs="Arial"/>
          <w:szCs w:val="28"/>
        </w:rPr>
        <w:t xml:space="preserve">Desde 2010 hasta 2013, el IPC se sitúa en niveles superiores al incremento salarial pactado, llegando a situarse en apenas un 0,5% de subida. </w:t>
      </w:r>
    </w:p>
    <w:p w14:paraId="08B51216" w14:textId="77777777" w:rsidR="00C05533" w:rsidRPr="007B7798" w:rsidRDefault="00C05533" w:rsidP="00C05533">
      <w:pPr>
        <w:tabs>
          <w:tab w:val="left" w:pos="495"/>
        </w:tabs>
        <w:spacing w:after="200" w:line="276" w:lineRule="auto"/>
        <w:rPr>
          <w:rFonts w:ascii="Arial" w:hAnsi="Arial" w:cs="Arial"/>
          <w:szCs w:val="28"/>
        </w:rPr>
      </w:pPr>
      <w:r w:rsidRPr="007B7798">
        <w:rPr>
          <w:rFonts w:ascii="Arial" w:hAnsi="Arial" w:cs="Arial"/>
          <w:szCs w:val="28"/>
        </w:rPr>
        <w:t>En el tramo del 2014 a 2020 (salvo en 2017), el incremento salarial se sitúa en valores positivos y superiores a la inflación, debido a los valores tan bajos que llega a tomar el IPC.</w:t>
      </w:r>
    </w:p>
    <w:p w14:paraId="25837A7C" w14:textId="77777777" w:rsidR="00C05533" w:rsidRPr="007B7798" w:rsidRDefault="00C05533" w:rsidP="00C05533">
      <w:pPr>
        <w:tabs>
          <w:tab w:val="left" w:pos="495"/>
        </w:tabs>
        <w:spacing w:after="200" w:line="276" w:lineRule="auto"/>
        <w:rPr>
          <w:rFonts w:ascii="Arial" w:hAnsi="Arial" w:cs="Arial"/>
          <w:szCs w:val="28"/>
        </w:rPr>
      </w:pPr>
      <w:r w:rsidRPr="007B7798">
        <w:rPr>
          <w:rFonts w:ascii="Arial" w:hAnsi="Arial" w:cs="Arial"/>
          <w:szCs w:val="28"/>
        </w:rPr>
        <w:t xml:space="preserve">En 2021, debido a la fuerte subida que experimentan los precios, la variación salarial pactada no supera dichos niveles, llegando a tener en 2022 más de 5 </w:t>
      </w:r>
      <w:proofErr w:type="spellStart"/>
      <w:r w:rsidRPr="007B7798">
        <w:rPr>
          <w:rFonts w:ascii="Arial" w:hAnsi="Arial" w:cs="Arial"/>
          <w:szCs w:val="28"/>
        </w:rPr>
        <w:t>pp</w:t>
      </w:r>
      <w:proofErr w:type="spellEnd"/>
      <w:r w:rsidRPr="007B7798">
        <w:rPr>
          <w:rFonts w:ascii="Arial" w:hAnsi="Arial" w:cs="Arial"/>
          <w:szCs w:val="28"/>
        </w:rPr>
        <w:t xml:space="preserve"> de diferencia. En 2023, gracias a la estabilización de los precios, se vuelve a moderar la diferencia entre la subida salarial y el IPC.  </w:t>
      </w:r>
    </w:p>
    <w:p w14:paraId="3FFEAC22" w14:textId="77777777" w:rsidR="00C05533" w:rsidRPr="007B7798" w:rsidRDefault="00C05533" w:rsidP="00C05533">
      <w:pPr>
        <w:tabs>
          <w:tab w:val="left" w:pos="495"/>
        </w:tabs>
        <w:spacing w:line="276" w:lineRule="auto"/>
        <w:ind w:left="426"/>
        <w:rPr>
          <w:rFonts w:ascii="Arial" w:hAnsi="Arial" w:cs="Arial"/>
          <w:szCs w:val="28"/>
        </w:rPr>
      </w:pPr>
    </w:p>
    <w:p w14:paraId="281E59F6" w14:textId="77777777" w:rsidR="00C05533" w:rsidRPr="007B7798" w:rsidRDefault="00C05533" w:rsidP="00C05533">
      <w:pPr>
        <w:tabs>
          <w:tab w:val="left" w:pos="495"/>
        </w:tabs>
        <w:spacing w:after="200" w:line="276" w:lineRule="auto"/>
        <w:ind w:left="425"/>
        <w:rPr>
          <w:rFonts w:ascii="Arial" w:hAnsi="Arial" w:cs="Arial"/>
          <w:szCs w:val="28"/>
        </w:rPr>
      </w:pPr>
      <w:r w:rsidRPr="007B7798">
        <w:rPr>
          <w:rFonts w:ascii="Arial" w:hAnsi="Arial" w:cs="Arial"/>
          <w:noProof/>
          <w:szCs w:val="28"/>
        </w:rPr>
        <w:drawing>
          <wp:inline distT="0" distB="0" distL="0" distR="0" wp14:anchorId="71D7D446" wp14:editId="7FF77797">
            <wp:extent cx="5772785" cy="2894330"/>
            <wp:effectExtent l="0" t="0" r="0" b="1270"/>
            <wp:docPr id="1906963019" name="Imagen 1906963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2785" cy="2894330"/>
                    </a:xfrm>
                    <a:prstGeom prst="rect">
                      <a:avLst/>
                    </a:prstGeom>
                    <a:noFill/>
                    <a:ln>
                      <a:noFill/>
                    </a:ln>
                  </pic:spPr>
                </pic:pic>
              </a:graphicData>
            </a:graphic>
          </wp:inline>
        </w:drawing>
      </w:r>
    </w:p>
    <w:p w14:paraId="2F6E0264" w14:textId="77777777" w:rsidR="00C05533" w:rsidRPr="007B7798" w:rsidRDefault="00C05533" w:rsidP="00C05533">
      <w:pPr>
        <w:spacing w:line="276" w:lineRule="auto"/>
        <w:ind w:left="426"/>
        <w:rPr>
          <w:rFonts w:ascii="Arial" w:hAnsi="Arial" w:cs="Arial"/>
          <w:szCs w:val="28"/>
        </w:rPr>
      </w:pPr>
    </w:p>
    <w:p w14:paraId="2A5E8FDE" w14:textId="77777777" w:rsidR="00C05533" w:rsidRPr="007B7798" w:rsidRDefault="00C05533" w:rsidP="00C05533">
      <w:pPr>
        <w:spacing w:line="276" w:lineRule="auto"/>
        <w:ind w:left="426"/>
        <w:rPr>
          <w:rFonts w:ascii="Arial" w:hAnsi="Arial" w:cs="Arial"/>
          <w:i/>
          <w:iCs/>
          <w:szCs w:val="28"/>
        </w:rPr>
      </w:pPr>
      <w:r w:rsidRPr="007B7798">
        <w:rPr>
          <w:rFonts w:ascii="Arial" w:hAnsi="Arial" w:cs="Arial"/>
          <w:i/>
          <w:iCs/>
          <w:szCs w:val="28"/>
        </w:rPr>
        <w:t>2.2.2. La productividad</w:t>
      </w:r>
    </w:p>
    <w:p w14:paraId="08C213D0"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Desde el comienzo de la crisis financiera del año 2008 hasta el año 2014, el empleo en el total de la economía descendió en más de 3.200.000</w:t>
      </w:r>
      <w:r w:rsidRPr="007B7798">
        <w:rPr>
          <w:rStyle w:val="Refdenotaalpie"/>
          <w:rFonts w:ascii="Arial" w:hAnsi="Arial" w:cs="Arial"/>
          <w:szCs w:val="28"/>
        </w:rPr>
        <w:footnoteReference w:id="5"/>
      </w:r>
      <w:r w:rsidRPr="007B7798">
        <w:rPr>
          <w:rFonts w:ascii="Arial" w:hAnsi="Arial" w:cs="Arial"/>
          <w:szCs w:val="28"/>
        </w:rPr>
        <w:t xml:space="preserve"> personas, algo más de un 15%. Este descenso se observa también en puestos de trabajo y puestos de trabajo equivalentes a tiempo completo. </w:t>
      </w:r>
    </w:p>
    <w:p w14:paraId="187ED613"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 xml:space="preserve">En 2014 comienza un periodo de crecimiento de empleo pasando de casi 18 millones de personas ocupadas a las más de 20,3 millones del año 2019. En </w:t>
      </w:r>
      <w:r w:rsidRPr="007B7798">
        <w:rPr>
          <w:rFonts w:ascii="Arial" w:hAnsi="Arial" w:cs="Arial"/>
          <w:szCs w:val="28"/>
        </w:rPr>
        <w:lastRenderedPageBreak/>
        <w:t>este periodo, el crecimiento anual (tomando como dato anual las medias de los trimestres), está en torno al 2%, aunque no se llega a los ocupados del 2008.</w:t>
      </w:r>
    </w:p>
    <w:p w14:paraId="54E763A1"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En 2020, a consecuencia de la crisis sanitaria de la COVID-19 se produce un descenso de 849,5 miles de ocupados que, en términos de puestos de trabajo equivalentes a tiempo completo se cifran en casi 1,2 millones menos. En 2021 y 2022 comienza la recuperación del empleo, aunque la situación de la economía se agrava por la invasión de Ucrania por parte de Rusia y la crisis energética. Esta tendencia al alza del empleo continúa hasta el tercer trimestre del año 2023. En términos medios, en el año 2023 el número de personas ocupadas según la EPA alcanza la cifra récord de 21,26 millones en el tercer trimestre del año, la mayor de toda la serie histórica.</w:t>
      </w:r>
    </w:p>
    <w:p w14:paraId="4BE5F154"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En el tercer trimestre de 2023, la variación anual de las personas ocupadas es de un 3,4% similar al crecimiento de los puestos de trabajo (un 3,6%) y los puestos de trabajo equivalentes a tiempo completo (3,4%).</w:t>
      </w:r>
    </w:p>
    <w:p w14:paraId="4F67F530"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En horas trabajadas, el crecimiento es 1,9%, con respecto al año anterior. Por sectores, en la industria y construcción permanece apenas sin variación, y en el sector servicios crece un 2,3%.</w:t>
      </w:r>
    </w:p>
    <w:p w14:paraId="62360BD3"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 xml:space="preserve">La productividad por hora trabajada en el tercer trimestre del 2023 se ha mantenido prácticamente estable, comparado con 2022, siendo el incremento del PIB en volumen un 1,8%, y el de las horas trabajadas un 1,9%. Con respecto al trimestre anterior, esta variación ha sido de algo más de 0,2%. La remuneración de asalariados en el tercer trimestre de 2023 tiene una variación interanual de 8,2% y una variación trimestral del 3,2%, más de 3 </w:t>
      </w:r>
      <w:proofErr w:type="spellStart"/>
      <w:r w:rsidRPr="007B7798">
        <w:rPr>
          <w:rFonts w:ascii="Arial" w:hAnsi="Arial" w:cs="Arial"/>
          <w:szCs w:val="28"/>
        </w:rPr>
        <w:t>pp</w:t>
      </w:r>
      <w:proofErr w:type="spellEnd"/>
      <w:r w:rsidRPr="007B7798">
        <w:rPr>
          <w:rFonts w:ascii="Arial" w:hAnsi="Arial" w:cs="Arial"/>
          <w:szCs w:val="28"/>
        </w:rPr>
        <w:t xml:space="preserve"> con respecto a la variación del segundo trimestre frente al primero. </w:t>
      </w:r>
    </w:p>
    <w:p w14:paraId="4E70923D"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 xml:space="preserve">Las horas de los asalariados han tenido un crecimiento trimestral de un 0,2%, en las horas totales dicha variación ha sido de un 0,1%. En términos anuales, las horas asalariadas han crecido un 2,2% y las totales, un 1,9%. </w:t>
      </w:r>
    </w:p>
    <w:p w14:paraId="4FA72046"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De acuerdo con el Programa de Estabilidad 2023-2026</w:t>
      </w:r>
      <w:r w:rsidRPr="007B7798">
        <w:rPr>
          <w:rStyle w:val="Refdenotaalpie"/>
          <w:rFonts w:ascii="Arial" w:hAnsi="Arial" w:cs="Arial"/>
          <w:szCs w:val="28"/>
        </w:rPr>
        <w:footnoteReference w:id="6"/>
      </w:r>
      <w:r w:rsidRPr="007B7798">
        <w:rPr>
          <w:rFonts w:ascii="Arial" w:hAnsi="Arial" w:cs="Arial"/>
          <w:szCs w:val="28"/>
        </w:rPr>
        <w:t xml:space="preserve">, las reformas llevadas a cabo tendrán su efecto en la productividad a medio-largo plazo, para el año 2023 estima que el crecimiento de la productividad por hora trabajada será del 0,8% y, para el 2024, de un 0,1%. </w:t>
      </w:r>
    </w:p>
    <w:p w14:paraId="598E0FC5"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lastRenderedPageBreak/>
        <w:t>En cuanto a la relación entre el salario y la productividad por hora trabajada, entre 2008 y 2012, se produjeron incrementos salariales más elevados que la productividad. En 2012, esta tendencia se invierte y es la productividad la que tiene los incrementos mayores. El comportamiento de los costes salariales por hora permanece prácticamente invariable hasta 2018, cuando comienza a subir hasta el 2021 que sufre un ligero retroceso para volver a subir en el 2022.</w:t>
      </w:r>
    </w:p>
    <w:p w14:paraId="39FFD973"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 xml:space="preserve">La senda de la productividad está marcada por la constante subida desde 2008 a 2021, con clara tendencia alcista. En 2022 sufre un incremento muy pronunciado debido al aumento del PIB. La mayor diferencia entre los niveles de ambas series se produce en dicho año, 2022, cuando el crecimiento de la productividad es mayor que los costes. </w:t>
      </w:r>
    </w:p>
    <w:p w14:paraId="2745E54C" w14:textId="77777777" w:rsidR="00C05533" w:rsidRPr="007B7798" w:rsidRDefault="00C05533" w:rsidP="00C05533">
      <w:pPr>
        <w:spacing w:line="276" w:lineRule="auto"/>
        <w:ind w:left="426"/>
        <w:rPr>
          <w:rFonts w:ascii="Arial" w:hAnsi="Arial" w:cs="Arial"/>
          <w:szCs w:val="28"/>
        </w:rPr>
      </w:pPr>
      <w:r w:rsidRPr="007B7798">
        <w:rPr>
          <w:rFonts w:ascii="Arial" w:hAnsi="Arial" w:cs="Arial"/>
          <w:noProof/>
          <w:szCs w:val="28"/>
        </w:rPr>
        <w:drawing>
          <wp:inline distT="0" distB="0" distL="0" distR="0" wp14:anchorId="53B3C6ED" wp14:editId="32E361AB">
            <wp:extent cx="6120130" cy="3116580"/>
            <wp:effectExtent l="0" t="0" r="0" b="7620"/>
            <wp:docPr id="1712967119" name="Imagen 171296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3116580"/>
                    </a:xfrm>
                    <a:prstGeom prst="rect">
                      <a:avLst/>
                    </a:prstGeom>
                    <a:noFill/>
                    <a:ln>
                      <a:noFill/>
                    </a:ln>
                  </pic:spPr>
                </pic:pic>
              </a:graphicData>
            </a:graphic>
          </wp:inline>
        </w:drawing>
      </w:r>
    </w:p>
    <w:p w14:paraId="3F7A6A41" w14:textId="77777777" w:rsidR="00C05533" w:rsidRPr="007B7798" w:rsidRDefault="00C05533" w:rsidP="00C05533">
      <w:pPr>
        <w:spacing w:line="276" w:lineRule="auto"/>
        <w:ind w:left="426"/>
        <w:rPr>
          <w:rFonts w:ascii="Arial" w:hAnsi="Arial" w:cs="Arial"/>
          <w:i/>
          <w:iCs/>
          <w:szCs w:val="28"/>
        </w:rPr>
      </w:pPr>
      <w:r w:rsidRPr="007B7798">
        <w:rPr>
          <w:rFonts w:ascii="Arial" w:hAnsi="Arial" w:cs="Arial"/>
          <w:i/>
          <w:iCs/>
          <w:szCs w:val="28"/>
        </w:rPr>
        <w:t xml:space="preserve">2.2.3. </w:t>
      </w:r>
      <w:bookmarkStart w:id="8" w:name="_Hlk120121960"/>
      <w:r w:rsidRPr="007B7798">
        <w:rPr>
          <w:rFonts w:ascii="Arial" w:hAnsi="Arial" w:cs="Arial"/>
          <w:i/>
          <w:iCs/>
          <w:szCs w:val="28"/>
        </w:rPr>
        <w:t>Participación del trabajo en la renta nacional</w:t>
      </w:r>
      <w:bookmarkEnd w:id="8"/>
    </w:p>
    <w:p w14:paraId="564B0AB1"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 xml:space="preserve">Observando la serie de la remuneración de asalariados como porcentaje de la renta nacional disponible bruta, desde 2008 hasta la actualidad, destacan dos picos claramente diferenciados. El primero de ellos se alcanza en el segundo trimestre del 2009, en plena crisis financiera, con un 51,4% y a partir del cual se va produciendo un descenso paulatino (más acusado hasta 2013) y que se mantiene hasta llegar al mínimo de 45,4% del primer trimestre de 2018. </w:t>
      </w:r>
    </w:p>
    <w:p w14:paraId="17E6024B"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El segundo máximo de la serie (50,7%) se alcanza en el primer trimestre del 2021 en plena crisis del COVID-19. A partir de ahí desciende de nuevo, hasta situarse en el entorno del 4</w:t>
      </w:r>
      <w:r>
        <w:rPr>
          <w:rFonts w:ascii="Arial" w:hAnsi="Arial" w:cs="Arial"/>
          <w:szCs w:val="28"/>
        </w:rPr>
        <w:t>8</w:t>
      </w:r>
      <w:r w:rsidRPr="007B7798">
        <w:rPr>
          <w:rFonts w:ascii="Arial" w:hAnsi="Arial" w:cs="Arial"/>
          <w:szCs w:val="28"/>
        </w:rPr>
        <w:t xml:space="preserve">% en el segundo trimestre del 2023. </w:t>
      </w:r>
    </w:p>
    <w:p w14:paraId="6DF2B07D" w14:textId="77777777" w:rsidR="00C05533" w:rsidRPr="007B7798" w:rsidRDefault="00C05533" w:rsidP="00C05533">
      <w:pPr>
        <w:tabs>
          <w:tab w:val="left" w:pos="8925"/>
        </w:tabs>
        <w:rPr>
          <w:rFonts w:ascii="Arial" w:hAnsi="Arial" w:cs="Arial"/>
          <w:szCs w:val="28"/>
        </w:rPr>
      </w:pPr>
      <w:r w:rsidRPr="007B7798">
        <w:rPr>
          <w:rFonts w:ascii="Arial" w:hAnsi="Arial" w:cs="Arial"/>
          <w:szCs w:val="28"/>
        </w:rPr>
        <w:tab/>
      </w:r>
    </w:p>
    <w:p w14:paraId="1269A2ED" w14:textId="77777777" w:rsidR="00C05533" w:rsidRPr="007B7798" w:rsidRDefault="00C05533" w:rsidP="00C05533">
      <w:pPr>
        <w:spacing w:line="276" w:lineRule="auto"/>
        <w:jc w:val="center"/>
        <w:rPr>
          <w:rFonts w:ascii="Arial" w:hAnsi="Arial" w:cs="Arial"/>
          <w:i/>
          <w:szCs w:val="28"/>
        </w:rPr>
      </w:pPr>
      <w:r w:rsidRPr="007B7798">
        <w:rPr>
          <w:rFonts w:ascii="Arial" w:hAnsi="Arial" w:cs="Arial"/>
          <w:noProof/>
          <w:szCs w:val="28"/>
        </w:rPr>
        <w:lastRenderedPageBreak/>
        <w:drawing>
          <wp:inline distT="0" distB="0" distL="0" distR="0" wp14:anchorId="5826A25B" wp14:editId="5D2F509A">
            <wp:extent cx="5567680" cy="2545080"/>
            <wp:effectExtent l="0" t="0" r="0" b="7620"/>
            <wp:docPr id="858163388" name="Imagen 85816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67680" cy="2545080"/>
                    </a:xfrm>
                    <a:prstGeom prst="rect">
                      <a:avLst/>
                    </a:prstGeom>
                    <a:noFill/>
                    <a:ln>
                      <a:noFill/>
                    </a:ln>
                  </pic:spPr>
                </pic:pic>
              </a:graphicData>
            </a:graphic>
          </wp:inline>
        </w:drawing>
      </w:r>
    </w:p>
    <w:p w14:paraId="799C06C8" w14:textId="77777777" w:rsidR="00C05533" w:rsidRPr="007B7798" w:rsidRDefault="00C05533" w:rsidP="00C05533">
      <w:pPr>
        <w:ind w:left="426"/>
        <w:rPr>
          <w:rFonts w:ascii="Arial" w:hAnsi="Arial" w:cs="Arial"/>
          <w:szCs w:val="28"/>
        </w:rPr>
      </w:pPr>
    </w:p>
    <w:p w14:paraId="71BD18B2" w14:textId="77777777" w:rsidR="00C05533" w:rsidRPr="007B7798" w:rsidRDefault="00C05533" w:rsidP="00C05533">
      <w:pPr>
        <w:ind w:left="426"/>
        <w:rPr>
          <w:rFonts w:ascii="Arial" w:hAnsi="Arial" w:cs="Arial"/>
          <w:i/>
          <w:iCs/>
          <w:szCs w:val="28"/>
        </w:rPr>
      </w:pPr>
      <w:r w:rsidRPr="007B7798">
        <w:rPr>
          <w:rFonts w:ascii="Arial" w:hAnsi="Arial" w:cs="Arial"/>
          <w:i/>
          <w:iCs/>
          <w:szCs w:val="28"/>
        </w:rPr>
        <w:t>2.2.4. Coyuntura económica general</w:t>
      </w:r>
    </w:p>
    <w:p w14:paraId="7E69502F"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 xml:space="preserve">El año 2023 ha venido marcado por el nivel de precios, la subida de tipos de interés por parte del Banco Central Europeo, el buen comportamiento del mercado de mercado laboral y el crecimiento moderado del PIB. </w:t>
      </w:r>
    </w:p>
    <w:p w14:paraId="29360E17"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 xml:space="preserve">Destaca el buen comportamiento del mercado laboral observado este año, marcado por su resistencia y recuperación. En 2024 se estima que se genere empleo y se reduzca paro, aunque se prevé una desaceleración </w:t>
      </w:r>
      <w:r>
        <w:rPr>
          <w:rFonts w:ascii="Arial" w:hAnsi="Arial" w:cs="Arial"/>
          <w:szCs w:val="28"/>
        </w:rPr>
        <w:t>en el ritmo de</w:t>
      </w:r>
      <w:r w:rsidRPr="007B7798">
        <w:rPr>
          <w:rFonts w:ascii="Arial" w:hAnsi="Arial" w:cs="Arial"/>
          <w:szCs w:val="28"/>
        </w:rPr>
        <w:t xml:space="preserve"> crecimiento. El 2024 también vendrá marcado por la reactivación de las reglas fiscales europeas.</w:t>
      </w:r>
    </w:p>
    <w:p w14:paraId="19C75B4E"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Por último, cabe mencionar la nueva situación relacionada con el contexto internacional que puede afectar al sector energético y al intercambio comercial.</w:t>
      </w:r>
    </w:p>
    <w:p w14:paraId="100675BD"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 xml:space="preserve">Según el </w:t>
      </w:r>
      <w:r w:rsidRPr="007B7798">
        <w:rPr>
          <w:rFonts w:ascii="Arial" w:hAnsi="Arial" w:cs="Arial"/>
          <w:b/>
          <w:szCs w:val="28"/>
        </w:rPr>
        <w:t>Ministerio de Asuntos Económicos y Transformación Digital</w:t>
      </w:r>
      <w:r w:rsidRPr="007B7798">
        <w:rPr>
          <w:rStyle w:val="Refdenotaalpie"/>
          <w:rFonts w:ascii="Arial" w:hAnsi="Arial" w:cs="Arial"/>
          <w:b/>
          <w:szCs w:val="28"/>
        </w:rPr>
        <w:footnoteReference w:id="7"/>
      </w:r>
      <w:r w:rsidRPr="007B7798">
        <w:rPr>
          <w:rFonts w:ascii="Arial" w:hAnsi="Arial" w:cs="Arial"/>
          <w:szCs w:val="28"/>
        </w:rPr>
        <w:t>, en su escenario macroeconómico 2023-2026, del mercado laboral destacan el crecimiento del empleo y los salarios y el descenso de la tasa de paro.</w:t>
      </w:r>
    </w:p>
    <w:p w14:paraId="62DF8230"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 xml:space="preserve">Se prevé para el periodo 2023-2024 que España crezca por encima de la zona euro, con un PIB para 2023 del 2,4% y para 2024 del 2% en 2024, destacando en este crecimiento el dinamismo laboral, entre otros factores. </w:t>
      </w:r>
    </w:p>
    <w:p w14:paraId="339263EC"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lastRenderedPageBreak/>
        <w:t xml:space="preserve">El </w:t>
      </w:r>
      <w:r w:rsidRPr="007B7798">
        <w:rPr>
          <w:rFonts w:ascii="Arial" w:hAnsi="Arial" w:cs="Arial"/>
          <w:b/>
          <w:szCs w:val="28"/>
        </w:rPr>
        <w:t>Banco de España,</w:t>
      </w:r>
      <w:r w:rsidRPr="007B7798">
        <w:rPr>
          <w:rFonts w:ascii="Arial" w:hAnsi="Arial" w:cs="Arial"/>
          <w:szCs w:val="28"/>
        </w:rPr>
        <w:t xml:space="preserve"> en sus proyecciones macroeconómicas 2023-2025</w:t>
      </w:r>
      <w:r w:rsidRPr="007B7798">
        <w:rPr>
          <w:rStyle w:val="Refdenotaalpie"/>
          <w:rFonts w:ascii="Arial" w:hAnsi="Arial" w:cs="Arial"/>
          <w:szCs w:val="28"/>
        </w:rPr>
        <w:footnoteReference w:id="8"/>
      </w:r>
      <w:r w:rsidRPr="007B7798">
        <w:rPr>
          <w:rFonts w:ascii="Arial" w:hAnsi="Arial" w:cs="Arial"/>
          <w:szCs w:val="28"/>
        </w:rPr>
        <w:t xml:space="preserve">, sitúa el crecimiento del PIB para 2023 en un 2,3% y en 1,8% para el 2024. </w:t>
      </w:r>
    </w:p>
    <w:p w14:paraId="12103193"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 xml:space="preserve">Se estima cierta recuperación de la productividad. Se creará empleo y con ello se espera que se produzca un descenso del paro, cuya tasa se situará en el 12% para 2023 y en el 11,5% para 2024. </w:t>
      </w:r>
    </w:p>
    <w:p w14:paraId="124A89E7"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 xml:space="preserve">La </w:t>
      </w:r>
      <w:r w:rsidRPr="007B7798">
        <w:rPr>
          <w:rFonts w:ascii="Arial" w:hAnsi="Arial" w:cs="Arial"/>
          <w:b/>
          <w:szCs w:val="28"/>
        </w:rPr>
        <w:t>Comisión Europea</w:t>
      </w:r>
      <w:r w:rsidRPr="007B7798">
        <w:rPr>
          <w:rStyle w:val="Refdenotaalpie"/>
          <w:rFonts w:ascii="Arial" w:hAnsi="Arial" w:cs="Arial"/>
          <w:b/>
          <w:szCs w:val="28"/>
        </w:rPr>
        <w:footnoteReference w:id="9"/>
      </w:r>
      <w:r w:rsidRPr="007B7798">
        <w:rPr>
          <w:rFonts w:ascii="Arial" w:hAnsi="Arial" w:cs="Arial"/>
          <w:szCs w:val="28"/>
        </w:rPr>
        <w:t xml:space="preserve"> publicó en noviembre del 2023 su previsión para España. Lo más destacable es que se estima un crecimiento moderado. Con un incremento del PIB real en 2023 de un 2,4%, se prevé una ralentización en 2024, situándose en un 1,7%. Aunque la inflación se vaya moderando, a pesar de la presión al alza de los precios por la retirada paulatina de las ayudas del Gobierno para paliar la subida de los precios de la energía.</w:t>
      </w:r>
    </w:p>
    <w:p w14:paraId="509930EB"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Por otra parte, el mercado laboral se ha mostrado resiliente y se estima que caiga la tasa de paro en 2023 y haya buenas expectativas en el empleo para el 2024 y 2025.</w:t>
      </w:r>
    </w:p>
    <w:p w14:paraId="1FF68496" w14:textId="77777777" w:rsidR="00C05533" w:rsidRPr="007B7798" w:rsidRDefault="00C05533" w:rsidP="00C05533">
      <w:pPr>
        <w:spacing w:after="200" w:line="276" w:lineRule="auto"/>
        <w:rPr>
          <w:rFonts w:ascii="Arial" w:hAnsi="Arial" w:cs="Arial"/>
          <w:szCs w:val="28"/>
        </w:rPr>
      </w:pPr>
      <w:r w:rsidRPr="007B7798">
        <w:rPr>
          <w:rFonts w:ascii="Arial" w:hAnsi="Arial" w:cs="Arial"/>
          <w:szCs w:val="28"/>
        </w:rPr>
        <w:t xml:space="preserve">A continuación, se muestra a modo resumen las previsiones sobre PIB, empleo, paro e inflación de diferentes organismos nacionales e internacionales. </w:t>
      </w:r>
    </w:p>
    <w:p w14:paraId="4F492078" w14:textId="77777777" w:rsidR="00C05533" w:rsidRPr="007B7798" w:rsidRDefault="00C05533" w:rsidP="00C05533">
      <w:pPr>
        <w:ind w:left="426"/>
        <w:rPr>
          <w:rFonts w:ascii="Arial" w:hAnsi="Arial" w:cs="Arial"/>
          <w:szCs w:val="28"/>
        </w:rPr>
      </w:pPr>
      <w:r w:rsidRPr="007B7798">
        <w:rPr>
          <w:rFonts w:ascii="Arial" w:hAnsi="Arial" w:cs="Arial"/>
          <w:noProof/>
          <w:szCs w:val="28"/>
        </w:rPr>
        <w:lastRenderedPageBreak/>
        <w:drawing>
          <wp:inline distT="0" distB="0" distL="0" distR="0" wp14:anchorId="7B341216" wp14:editId="17A6D6A6">
            <wp:extent cx="5833051" cy="3617968"/>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39312" cy="3621851"/>
                    </a:xfrm>
                    <a:prstGeom prst="rect">
                      <a:avLst/>
                    </a:prstGeom>
                    <a:noFill/>
                    <a:ln>
                      <a:noFill/>
                    </a:ln>
                  </pic:spPr>
                </pic:pic>
              </a:graphicData>
            </a:graphic>
          </wp:inline>
        </w:drawing>
      </w:r>
    </w:p>
    <w:p w14:paraId="436F7B5A" w14:textId="77777777" w:rsidR="00C05533" w:rsidRPr="007B7798" w:rsidRDefault="00C05533" w:rsidP="00C05533">
      <w:pPr>
        <w:spacing w:line="276" w:lineRule="auto"/>
        <w:ind w:left="426"/>
        <w:rPr>
          <w:rFonts w:ascii="Arial" w:hAnsi="Arial" w:cs="Arial"/>
          <w:szCs w:val="28"/>
          <w:vertAlign w:val="superscript"/>
        </w:rPr>
      </w:pPr>
    </w:p>
    <w:p w14:paraId="26DC0AC8" w14:textId="77777777" w:rsidR="00C05533" w:rsidRPr="007B7798" w:rsidRDefault="00C05533" w:rsidP="00C05533">
      <w:pPr>
        <w:spacing w:after="200" w:line="276" w:lineRule="auto"/>
        <w:ind w:left="425"/>
        <w:rPr>
          <w:rFonts w:ascii="Arial" w:hAnsi="Arial" w:cs="Arial"/>
          <w:szCs w:val="28"/>
        </w:rPr>
      </w:pPr>
      <w:r w:rsidRPr="007B7798">
        <w:rPr>
          <w:rFonts w:ascii="Arial" w:hAnsi="Arial" w:cs="Arial"/>
          <w:szCs w:val="28"/>
        </w:rPr>
        <w:t xml:space="preserve">A continuación, se muestra una tabla resumen sobre los principales indicadores Económicos de la Contabilidad Nacional Trimestral de España y el IPC. </w:t>
      </w:r>
    </w:p>
    <w:p w14:paraId="62966163" w14:textId="77777777" w:rsidR="00C05533" w:rsidRPr="007B7798" w:rsidRDefault="00C05533" w:rsidP="00C05533">
      <w:pPr>
        <w:spacing w:line="276" w:lineRule="auto"/>
        <w:ind w:left="426"/>
        <w:rPr>
          <w:rFonts w:ascii="Arial" w:hAnsi="Arial" w:cs="Arial"/>
          <w:szCs w:val="28"/>
        </w:rPr>
      </w:pPr>
      <w:r w:rsidRPr="007B7798">
        <w:rPr>
          <w:rFonts w:ascii="Arial" w:hAnsi="Arial" w:cs="Arial"/>
          <w:noProof/>
          <w:szCs w:val="28"/>
        </w:rPr>
        <w:drawing>
          <wp:inline distT="0" distB="0" distL="0" distR="0" wp14:anchorId="76854D22" wp14:editId="72ECFF58">
            <wp:extent cx="6120130" cy="3040912"/>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8144" cy="3044894"/>
                    </a:xfrm>
                    <a:prstGeom prst="rect">
                      <a:avLst/>
                    </a:prstGeom>
                    <a:noFill/>
                    <a:ln>
                      <a:noFill/>
                    </a:ln>
                  </pic:spPr>
                </pic:pic>
              </a:graphicData>
            </a:graphic>
          </wp:inline>
        </w:drawing>
      </w:r>
    </w:p>
    <w:p w14:paraId="3E22FEC9" w14:textId="77777777" w:rsidR="00C05533" w:rsidRPr="007B7798" w:rsidRDefault="00C05533" w:rsidP="00C05533">
      <w:pPr>
        <w:spacing w:line="276" w:lineRule="auto"/>
        <w:rPr>
          <w:rFonts w:ascii="Arial" w:hAnsi="Arial" w:cs="Arial"/>
          <w:bCs/>
          <w:szCs w:val="28"/>
          <w:u w:val="single"/>
        </w:rPr>
      </w:pPr>
      <w:r w:rsidRPr="007B7798">
        <w:rPr>
          <w:rFonts w:ascii="Arial" w:hAnsi="Arial" w:cs="Arial"/>
          <w:bCs/>
          <w:szCs w:val="28"/>
          <w:u w:val="single"/>
        </w:rPr>
        <w:t xml:space="preserve">II. </w:t>
      </w:r>
      <w:bookmarkStart w:id="9" w:name="_Hlk120121977"/>
      <w:r w:rsidRPr="007B7798">
        <w:rPr>
          <w:rFonts w:ascii="Arial" w:hAnsi="Arial" w:cs="Arial"/>
          <w:bCs/>
          <w:szCs w:val="28"/>
          <w:u w:val="single"/>
        </w:rPr>
        <w:t>Nivel relativo del SMI en España respecto a otros países europeos</w:t>
      </w:r>
      <w:bookmarkEnd w:id="9"/>
    </w:p>
    <w:p w14:paraId="5F954D78" w14:textId="77777777" w:rsidR="00C05533" w:rsidRPr="007B7798" w:rsidRDefault="00C05533" w:rsidP="00C05533">
      <w:pPr>
        <w:widowControl w:val="0"/>
        <w:spacing w:line="276" w:lineRule="auto"/>
        <w:rPr>
          <w:rFonts w:ascii="Arial" w:hAnsi="Arial" w:cs="Arial"/>
          <w:szCs w:val="28"/>
        </w:rPr>
      </w:pPr>
      <w:r w:rsidRPr="007B7798">
        <w:rPr>
          <w:rFonts w:ascii="Arial" w:hAnsi="Arial" w:cs="Arial"/>
          <w:szCs w:val="28"/>
        </w:rPr>
        <w:t xml:space="preserve">La Carta Social Europea de 18 de octubre de 1961, ratificada por España el 29 de abril de 1980, establece en su artículo 4 que España reconoce el derecho de los trabajadores a una remuneración suficiente que les proporcione a ellos y a </w:t>
      </w:r>
      <w:r w:rsidRPr="007B7798">
        <w:rPr>
          <w:rFonts w:ascii="Arial" w:hAnsi="Arial" w:cs="Arial"/>
          <w:szCs w:val="28"/>
        </w:rPr>
        <w:lastRenderedPageBreak/>
        <w:t xml:space="preserve">sus familias un nivel de vida decoroso. La referencia habitual a que este nivel se corresponde con el 60% del salario medio neto constituye una interpretación que realiza el Comité </w:t>
      </w:r>
      <w:r>
        <w:rPr>
          <w:rFonts w:ascii="Arial" w:hAnsi="Arial" w:cs="Arial"/>
          <w:szCs w:val="28"/>
        </w:rPr>
        <w:t>E</w:t>
      </w:r>
      <w:r w:rsidRPr="007B7798">
        <w:rPr>
          <w:rFonts w:ascii="Arial" w:hAnsi="Arial" w:cs="Arial"/>
          <w:szCs w:val="28"/>
        </w:rPr>
        <w:t xml:space="preserve">uropeo de </w:t>
      </w:r>
      <w:r>
        <w:rPr>
          <w:rFonts w:ascii="Arial" w:hAnsi="Arial" w:cs="Arial"/>
          <w:szCs w:val="28"/>
        </w:rPr>
        <w:t>D</w:t>
      </w:r>
      <w:r w:rsidRPr="007B7798">
        <w:rPr>
          <w:rFonts w:ascii="Arial" w:hAnsi="Arial" w:cs="Arial"/>
          <w:szCs w:val="28"/>
        </w:rPr>
        <w:t xml:space="preserve">erechos </w:t>
      </w:r>
      <w:r>
        <w:rPr>
          <w:rFonts w:ascii="Arial" w:hAnsi="Arial" w:cs="Arial"/>
          <w:szCs w:val="28"/>
        </w:rPr>
        <w:t>S</w:t>
      </w:r>
      <w:r w:rsidRPr="007B7798">
        <w:rPr>
          <w:rFonts w:ascii="Arial" w:hAnsi="Arial" w:cs="Arial"/>
          <w:szCs w:val="28"/>
        </w:rPr>
        <w:t>ociales</w:t>
      </w:r>
      <w:r w:rsidRPr="007B7798">
        <w:rPr>
          <w:rStyle w:val="Refdenotaalpie"/>
          <w:rFonts w:ascii="Arial" w:hAnsi="Arial" w:cs="Arial"/>
          <w:szCs w:val="28"/>
        </w:rPr>
        <w:footnoteReference w:id="10"/>
      </w:r>
      <w:r w:rsidRPr="007B7798">
        <w:rPr>
          <w:rFonts w:ascii="Arial" w:hAnsi="Arial" w:cs="Arial"/>
          <w:szCs w:val="28"/>
        </w:rPr>
        <w:t xml:space="preserve">, órgano de la UE encargado de supervisar el cumplimiento de los estados miembros con la Carta </w:t>
      </w:r>
      <w:r>
        <w:rPr>
          <w:rFonts w:ascii="Arial" w:hAnsi="Arial" w:cs="Arial"/>
          <w:szCs w:val="28"/>
        </w:rPr>
        <w:t>S</w:t>
      </w:r>
      <w:r w:rsidRPr="007B7798">
        <w:rPr>
          <w:rFonts w:ascii="Arial" w:hAnsi="Arial" w:cs="Arial"/>
          <w:szCs w:val="28"/>
        </w:rPr>
        <w:t xml:space="preserve">ocial </w:t>
      </w:r>
      <w:r>
        <w:rPr>
          <w:rFonts w:ascii="Arial" w:hAnsi="Arial" w:cs="Arial"/>
          <w:szCs w:val="28"/>
        </w:rPr>
        <w:t>E</w:t>
      </w:r>
      <w:r w:rsidRPr="007B7798">
        <w:rPr>
          <w:rFonts w:ascii="Arial" w:hAnsi="Arial" w:cs="Arial"/>
          <w:szCs w:val="28"/>
        </w:rPr>
        <w:t xml:space="preserve">uropea. </w:t>
      </w:r>
    </w:p>
    <w:p w14:paraId="7DC9D65F" w14:textId="77777777" w:rsidR="00C05533" w:rsidRPr="007B7798" w:rsidRDefault="00C05533" w:rsidP="00C05533">
      <w:pPr>
        <w:widowControl w:val="0"/>
        <w:spacing w:after="200" w:line="276" w:lineRule="auto"/>
        <w:rPr>
          <w:rFonts w:ascii="Arial" w:hAnsi="Arial" w:cs="Arial"/>
          <w:szCs w:val="28"/>
        </w:rPr>
      </w:pPr>
      <w:r w:rsidRPr="007B7798">
        <w:rPr>
          <w:rFonts w:ascii="Arial" w:hAnsi="Arial" w:cs="Arial"/>
          <w:szCs w:val="28"/>
        </w:rPr>
        <w:t xml:space="preserve">Tomando como referencia el 2015, España se situaba en la octava posición entre los 21 países en los que existía la figura del salario mínimo, no llegando a 760 </w:t>
      </w:r>
      <w:r>
        <w:rPr>
          <w:rFonts w:ascii="Arial" w:hAnsi="Arial" w:cs="Arial"/>
          <w:szCs w:val="28"/>
        </w:rPr>
        <w:t>e</w:t>
      </w:r>
      <w:r w:rsidRPr="007B7798">
        <w:rPr>
          <w:rFonts w:ascii="Arial" w:hAnsi="Arial" w:cs="Arial"/>
          <w:szCs w:val="28"/>
        </w:rPr>
        <w:t xml:space="preserve">uros. Los sucesivos incrementos producidos desde el 2015 hasta el 2022, más intensos en los últimos años, han supuesto pasar a una séptima posición de entre 22 países. </w:t>
      </w:r>
    </w:p>
    <w:p w14:paraId="4331FC4A" w14:textId="77777777" w:rsidR="00C05533" w:rsidRPr="007B7798" w:rsidRDefault="00C05533" w:rsidP="00C05533">
      <w:pPr>
        <w:widowControl w:val="0"/>
        <w:spacing w:after="200" w:line="276" w:lineRule="auto"/>
        <w:ind w:left="425"/>
        <w:rPr>
          <w:rFonts w:ascii="Arial" w:hAnsi="Arial" w:cs="Arial"/>
          <w:szCs w:val="28"/>
        </w:rPr>
      </w:pPr>
      <w:r w:rsidRPr="007B7798">
        <w:rPr>
          <w:rFonts w:ascii="Arial" w:hAnsi="Arial" w:cs="Arial"/>
          <w:noProof/>
          <w:szCs w:val="28"/>
        </w:rPr>
        <w:drawing>
          <wp:inline distT="0" distB="0" distL="0" distR="0" wp14:anchorId="090CC5B0" wp14:editId="4A08A802">
            <wp:extent cx="5855671" cy="3509010"/>
            <wp:effectExtent l="0" t="0" r="0" b="0"/>
            <wp:docPr id="24" name="Imagen 24" descr="Una captura de pantalla de un celular con texto e imágene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descr="Una captura de pantalla de un celular con texto e imágenes&#10;&#10;Descripción generada automáticamente con confianza medi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63533" cy="3513722"/>
                    </a:xfrm>
                    <a:prstGeom prst="rect">
                      <a:avLst/>
                    </a:prstGeom>
                    <a:noFill/>
                  </pic:spPr>
                </pic:pic>
              </a:graphicData>
            </a:graphic>
          </wp:inline>
        </w:drawing>
      </w:r>
      <w:r w:rsidRPr="007B7798">
        <w:rPr>
          <w:rFonts w:ascii="Arial" w:hAnsi="Arial" w:cs="Arial"/>
          <w:b/>
          <w:szCs w:val="28"/>
        </w:rPr>
        <w:t>Nota:</w:t>
      </w:r>
      <w:r w:rsidRPr="007B7798">
        <w:rPr>
          <w:rFonts w:ascii="Arial" w:hAnsi="Arial" w:cs="Arial"/>
          <w:szCs w:val="28"/>
        </w:rPr>
        <w:t xml:space="preserve"> Los salarios son datos mensuales obtenidos dividiendo entre 12 el SMI anual. </w:t>
      </w:r>
    </w:p>
    <w:p w14:paraId="6FA86D6F" w14:textId="77777777" w:rsidR="00C05533" w:rsidRPr="007B7798" w:rsidRDefault="00C05533" w:rsidP="00C05533">
      <w:pPr>
        <w:widowControl w:val="0"/>
        <w:spacing w:line="276" w:lineRule="auto"/>
        <w:rPr>
          <w:rFonts w:ascii="Arial" w:hAnsi="Arial" w:cs="Arial"/>
          <w:szCs w:val="28"/>
        </w:rPr>
      </w:pPr>
      <w:r w:rsidRPr="007B7798">
        <w:rPr>
          <w:rFonts w:ascii="Arial" w:hAnsi="Arial" w:cs="Arial"/>
          <w:szCs w:val="28"/>
        </w:rPr>
        <w:t xml:space="preserve">Conviene destacar que no todos los países tienen salario mínimo por ley, como es el caso de Dinamarca, Italia, Chipre, Austria, Finlandia y Suecia. </w:t>
      </w:r>
    </w:p>
    <w:p w14:paraId="2B7B3143" w14:textId="77777777" w:rsidR="00C05533" w:rsidRPr="007B7798" w:rsidRDefault="00C05533" w:rsidP="00C05533">
      <w:pPr>
        <w:widowControl w:val="0"/>
        <w:spacing w:after="200" w:line="276" w:lineRule="auto"/>
        <w:rPr>
          <w:rFonts w:ascii="Arial" w:hAnsi="Arial" w:cs="Arial"/>
          <w:szCs w:val="28"/>
        </w:rPr>
      </w:pPr>
      <w:r w:rsidRPr="007B7798">
        <w:rPr>
          <w:rFonts w:ascii="Arial" w:hAnsi="Arial" w:cs="Arial"/>
          <w:szCs w:val="28"/>
        </w:rPr>
        <w:t xml:space="preserve">Comparando con el PIB per cápita, España está en la décima posición (tomando como referencia los 22 países que tiene SMI por ley) y la séptima en SMI. La variación con respecto a 2015 es de un 8,5%, de las mayores subidas dentro de los países de nivel alto en SMI. </w:t>
      </w:r>
    </w:p>
    <w:p w14:paraId="301DAD95" w14:textId="77777777" w:rsidR="00C05533" w:rsidRPr="007B7798" w:rsidRDefault="00C05533" w:rsidP="00C05533">
      <w:pPr>
        <w:widowControl w:val="0"/>
        <w:spacing w:line="276" w:lineRule="auto"/>
        <w:jc w:val="center"/>
        <w:rPr>
          <w:rFonts w:ascii="Arial" w:hAnsi="Arial" w:cs="Arial"/>
          <w:szCs w:val="28"/>
        </w:rPr>
      </w:pPr>
      <w:r w:rsidRPr="007B7798">
        <w:rPr>
          <w:rFonts w:ascii="Arial" w:hAnsi="Arial" w:cs="Arial"/>
          <w:noProof/>
          <w:szCs w:val="28"/>
        </w:rPr>
        <w:lastRenderedPageBreak/>
        <w:drawing>
          <wp:inline distT="0" distB="0" distL="0" distR="0" wp14:anchorId="492241F9" wp14:editId="4249C0DA">
            <wp:extent cx="3552190" cy="3181276"/>
            <wp:effectExtent l="0" t="0" r="0" b="635"/>
            <wp:docPr id="281203591" name="Imagen 28120359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03591" name="Imagen 281203591" descr="Tabla&#10;&#10;Descripción generada automáticamen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84245" cy="3209984"/>
                    </a:xfrm>
                    <a:prstGeom prst="rect">
                      <a:avLst/>
                    </a:prstGeom>
                    <a:noFill/>
                  </pic:spPr>
                </pic:pic>
              </a:graphicData>
            </a:graphic>
          </wp:inline>
        </w:drawing>
      </w:r>
    </w:p>
    <w:p w14:paraId="7D990996" w14:textId="77777777" w:rsidR="00C05533" w:rsidRPr="007B7798" w:rsidRDefault="00C05533" w:rsidP="00C05533">
      <w:pPr>
        <w:widowControl w:val="0"/>
        <w:spacing w:line="276" w:lineRule="auto"/>
        <w:ind w:left="708"/>
        <w:rPr>
          <w:rFonts w:ascii="Arial" w:hAnsi="Arial" w:cs="Arial"/>
          <w:szCs w:val="28"/>
        </w:rPr>
      </w:pPr>
      <w:r w:rsidRPr="007B7798">
        <w:rPr>
          <w:rFonts w:ascii="Arial" w:hAnsi="Arial" w:cs="Arial"/>
          <w:b/>
          <w:szCs w:val="28"/>
        </w:rPr>
        <w:t xml:space="preserve"> Nota:</w:t>
      </w:r>
      <w:r w:rsidRPr="007B7798">
        <w:rPr>
          <w:rFonts w:ascii="Arial" w:hAnsi="Arial" w:cs="Arial"/>
          <w:szCs w:val="28"/>
        </w:rPr>
        <w:t xml:space="preserve"> Los salarios son datos mensuales obtenidos dividiendo entre 12 el SMI anual. El orden de los países en el gráfico del PIB per cápita es el que se obtiene del gráfico del salario mínimo 2023</w:t>
      </w:r>
    </w:p>
    <w:p w14:paraId="7311C53D" w14:textId="77777777" w:rsidR="00C05533" w:rsidRPr="007B7798" w:rsidRDefault="00C05533" w:rsidP="00C05533">
      <w:pPr>
        <w:widowControl w:val="0"/>
        <w:spacing w:line="24" w:lineRule="atLeast"/>
        <w:rPr>
          <w:rFonts w:ascii="Arial" w:hAnsi="Arial" w:cs="Arial"/>
          <w:szCs w:val="28"/>
        </w:rPr>
      </w:pPr>
      <w:r w:rsidRPr="007B7798">
        <w:rPr>
          <w:rFonts w:ascii="Arial" w:hAnsi="Arial" w:cs="Arial"/>
          <w:szCs w:val="28"/>
        </w:rPr>
        <w:t>Según Eurostat, en el año 2022 (últimos datos publicados), la proporción del salario mínimo mensual frente a los ingresos medios mensuales en términos brutos es de aproximadamente el 50,3% para España en los dos últimos años, situándose entre los 5 primeros países para los que existen datos disponibles.</w:t>
      </w:r>
    </w:p>
    <w:p w14:paraId="0BC897D8" w14:textId="77777777" w:rsidR="00C05533" w:rsidRPr="007B7798" w:rsidRDefault="00C05533" w:rsidP="00C05533">
      <w:pPr>
        <w:widowControl w:val="0"/>
        <w:spacing w:line="24" w:lineRule="atLeast"/>
        <w:rPr>
          <w:rFonts w:ascii="Arial" w:hAnsi="Arial" w:cs="Arial"/>
          <w:szCs w:val="28"/>
        </w:rPr>
      </w:pPr>
      <w:r w:rsidRPr="007B7798">
        <w:rPr>
          <w:rFonts w:ascii="Arial" w:hAnsi="Arial" w:cs="Arial"/>
          <w:szCs w:val="28"/>
        </w:rPr>
        <w:t xml:space="preserve"> </w:t>
      </w:r>
      <w:r w:rsidRPr="007B7798">
        <w:rPr>
          <w:rFonts w:ascii="Arial" w:hAnsi="Arial" w:cs="Arial"/>
          <w:noProof/>
          <w:szCs w:val="28"/>
        </w:rPr>
        <w:drawing>
          <wp:inline distT="0" distB="0" distL="0" distR="0" wp14:anchorId="22784B68" wp14:editId="7BF190F2">
            <wp:extent cx="6120130" cy="4150447"/>
            <wp:effectExtent l="0" t="0" r="0" b="2540"/>
            <wp:docPr id="41" name="Imagen 4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descr="Gráfico, Gráfico de barras&#10;&#10;Descripción generada automáticament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130" cy="4150447"/>
                    </a:xfrm>
                    <a:prstGeom prst="rect">
                      <a:avLst/>
                    </a:prstGeom>
                    <a:noFill/>
                  </pic:spPr>
                </pic:pic>
              </a:graphicData>
            </a:graphic>
          </wp:inline>
        </w:drawing>
      </w:r>
    </w:p>
    <w:p w14:paraId="2975F57D" w14:textId="77777777" w:rsidR="00C05533" w:rsidRPr="007B7798" w:rsidRDefault="00C05533" w:rsidP="00C05533">
      <w:pPr>
        <w:widowControl w:val="0"/>
        <w:spacing w:line="24" w:lineRule="atLeast"/>
        <w:rPr>
          <w:rFonts w:ascii="Arial" w:hAnsi="Arial" w:cs="Arial"/>
          <w:szCs w:val="28"/>
        </w:rPr>
      </w:pPr>
      <w:r w:rsidRPr="007B7798">
        <w:rPr>
          <w:rFonts w:ascii="Arial" w:hAnsi="Arial" w:cs="Arial"/>
          <w:szCs w:val="28"/>
        </w:rPr>
        <w:lastRenderedPageBreak/>
        <w:t xml:space="preserve">En el ámbito europeo, la </w:t>
      </w:r>
      <w:r w:rsidRPr="007B7798">
        <w:rPr>
          <w:rFonts w:ascii="Arial" w:hAnsi="Arial" w:cs="Arial"/>
          <w:b/>
          <w:szCs w:val="28"/>
        </w:rPr>
        <w:t>Comisión Europea</w:t>
      </w:r>
      <w:r w:rsidRPr="007B7798">
        <w:rPr>
          <w:rFonts w:ascii="Arial" w:hAnsi="Arial" w:cs="Arial"/>
          <w:szCs w:val="28"/>
        </w:rPr>
        <w:t xml:space="preserve"> publicó en 2020 una directiva</w:t>
      </w:r>
      <w:r w:rsidRPr="007B7798">
        <w:rPr>
          <w:rStyle w:val="Refdenotaalpie"/>
          <w:rFonts w:ascii="Arial" w:hAnsi="Arial" w:cs="Arial"/>
          <w:szCs w:val="28"/>
        </w:rPr>
        <w:footnoteReference w:id="11"/>
      </w:r>
      <w:r w:rsidRPr="007B7798">
        <w:rPr>
          <w:rFonts w:ascii="Arial" w:hAnsi="Arial" w:cs="Arial"/>
          <w:szCs w:val="28"/>
        </w:rPr>
        <w:t xml:space="preserve"> en la que instaba a los Estados Miembros a establecer salarios mínimos adecuados. En este sentido, asegura que “los salarios mínimos se consideran adecuados si son justos en relación con la distribución salarial y si proporcionan un nivel de vida digno”. “Su idoneidad, sostiene, debe evaluarse al menos en relación con su poder adquisitivo, con la evolución de la productividad y con su relación con el salario bruto, la distribución y el crecimiento”. </w:t>
      </w:r>
    </w:p>
    <w:p w14:paraId="2D5782D8" w14:textId="77777777" w:rsidR="00C05533" w:rsidRPr="007B7798" w:rsidRDefault="00C05533" w:rsidP="00C05533">
      <w:pPr>
        <w:widowControl w:val="0"/>
        <w:spacing w:line="24" w:lineRule="atLeast"/>
        <w:rPr>
          <w:rFonts w:ascii="Arial" w:hAnsi="Arial" w:cs="Arial"/>
          <w:szCs w:val="28"/>
        </w:rPr>
      </w:pPr>
      <w:r w:rsidRPr="007B7798">
        <w:rPr>
          <w:rFonts w:ascii="Arial" w:hAnsi="Arial" w:cs="Arial"/>
          <w:szCs w:val="28"/>
        </w:rPr>
        <w:t>Durante el año 2023 y hasta finales de noviembre, ha tenido lugar un Grupo de Trabajo organizado por la Comisión de la UE con expertos de los Estados miembros (EEMM) con el objetivo de redactar un informe que sirva de apoyo al trabajo legislativo que conduce a la transposición de la Directiva en los EEMM. Este informe no es vinculante y no exonera en modo alguno a los Estados miembros de la responsabilidad de garantizar la correcta transposición y aplicación de la Directiva, y no exime a la Comisión de su obligación de supervisar ese trabajo. Los Estados miembros han de adoptar las medidas necesarias para realizar la transposición, dando cumplimiento a lo establecido en la Directiva, antes del 15 de noviembre de 2024.</w:t>
      </w:r>
    </w:p>
    <w:p w14:paraId="1143686C" w14:textId="77777777" w:rsidR="00C05533" w:rsidRPr="007B7798" w:rsidRDefault="00C05533" w:rsidP="00C05533">
      <w:pPr>
        <w:widowControl w:val="0"/>
        <w:spacing w:line="24" w:lineRule="atLeast"/>
        <w:rPr>
          <w:rFonts w:ascii="Arial" w:hAnsi="Arial" w:cs="Arial"/>
          <w:szCs w:val="28"/>
        </w:rPr>
      </w:pPr>
    </w:p>
    <w:p w14:paraId="6209A371" w14:textId="77777777" w:rsidR="00C05533" w:rsidRPr="007B7798" w:rsidRDefault="00C05533" w:rsidP="00C05533">
      <w:pPr>
        <w:spacing w:line="276" w:lineRule="auto"/>
        <w:rPr>
          <w:rFonts w:ascii="Arial" w:hAnsi="Arial" w:cs="Arial"/>
          <w:szCs w:val="28"/>
          <w:u w:val="single"/>
        </w:rPr>
      </w:pPr>
      <w:r w:rsidRPr="007B7798">
        <w:rPr>
          <w:rFonts w:ascii="Arial" w:hAnsi="Arial" w:cs="Arial"/>
          <w:szCs w:val="28"/>
          <w:u w:val="single"/>
        </w:rPr>
        <w:t>III. Impacto potencial del incremento del SMI</w:t>
      </w:r>
    </w:p>
    <w:p w14:paraId="26D00656" w14:textId="77777777" w:rsidR="00C05533" w:rsidRPr="007B7798" w:rsidRDefault="00C05533" w:rsidP="00C05533">
      <w:pPr>
        <w:spacing w:line="276" w:lineRule="auto"/>
        <w:rPr>
          <w:rFonts w:ascii="Arial" w:hAnsi="Arial" w:cs="Arial"/>
          <w:szCs w:val="28"/>
        </w:rPr>
      </w:pPr>
      <w:r w:rsidRPr="007B7798">
        <w:rPr>
          <w:rFonts w:ascii="Arial" w:hAnsi="Arial" w:cs="Arial"/>
          <w:szCs w:val="28"/>
        </w:rPr>
        <w:t xml:space="preserve">El salario mínimo es una importante herramienta política de los gobiernos para actuar sobre el mercado laboral y la fijación de salarios en la economía, y es una medida </w:t>
      </w:r>
      <w:proofErr w:type="spellStart"/>
      <w:r w:rsidRPr="007B7798">
        <w:rPr>
          <w:rFonts w:ascii="Arial" w:hAnsi="Arial" w:cs="Arial"/>
          <w:szCs w:val="28"/>
        </w:rPr>
        <w:t>predistributiva</w:t>
      </w:r>
      <w:proofErr w:type="spellEnd"/>
      <w:r w:rsidRPr="007B7798">
        <w:rPr>
          <w:rFonts w:ascii="Arial" w:hAnsi="Arial" w:cs="Arial"/>
          <w:szCs w:val="28"/>
        </w:rPr>
        <w:t xml:space="preserve"> para reducir las desigualdades en las rentas primarias o salariales. Establece una cota inferior a los ingresos de los trabajadores, pudiendo contribuir a una reducción de la pobreza y la desigualdad, y devuelve parte del poder negociador a los trabajadores, especialmente a aquellos con salarios más bajos, en un escenario de negociación colectiva. Además, puede suponer un incentivo para la búsqueda de empleo entre los desempleados o los inactivos.</w:t>
      </w:r>
    </w:p>
    <w:p w14:paraId="158FD461" w14:textId="77777777" w:rsidR="00C05533" w:rsidRPr="007B7798" w:rsidRDefault="00C05533" w:rsidP="00C05533">
      <w:pPr>
        <w:spacing w:line="276" w:lineRule="auto"/>
        <w:rPr>
          <w:rFonts w:ascii="Arial" w:hAnsi="Arial" w:cs="Arial"/>
          <w:szCs w:val="28"/>
        </w:rPr>
      </w:pPr>
      <w:r>
        <w:rPr>
          <w:rFonts w:ascii="Arial" w:hAnsi="Arial" w:cs="Arial"/>
          <w:szCs w:val="28"/>
        </w:rPr>
        <w:t>L</w:t>
      </w:r>
      <w:r w:rsidRPr="007B7798">
        <w:rPr>
          <w:rFonts w:ascii="Arial" w:hAnsi="Arial" w:cs="Arial"/>
          <w:szCs w:val="28"/>
        </w:rPr>
        <w:t>a literatura económica no ofrece resultados concluyentes acerca</w:t>
      </w:r>
      <w:r>
        <w:rPr>
          <w:rFonts w:ascii="Arial" w:hAnsi="Arial" w:cs="Arial"/>
          <w:szCs w:val="28"/>
        </w:rPr>
        <w:t xml:space="preserve"> los posibles impactos que puede tener el SMI sobre el empleo</w:t>
      </w:r>
      <w:r w:rsidRPr="007B7798">
        <w:rPr>
          <w:rFonts w:ascii="Arial" w:hAnsi="Arial" w:cs="Arial"/>
          <w:szCs w:val="28"/>
        </w:rPr>
        <w:t xml:space="preserve">. De hecho, la propia OIT, en </w:t>
      </w:r>
      <w:proofErr w:type="spellStart"/>
      <w:r w:rsidRPr="007B7798">
        <w:rPr>
          <w:rFonts w:ascii="Arial" w:hAnsi="Arial" w:cs="Arial"/>
          <w:i/>
          <w:szCs w:val="28"/>
        </w:rPr>
        <w:t>Minimum</w:t>
      </w:r>
      <w:proofErr w:type="spellEnd"/>
      <w:r w:rsidRPr="007B7798">
        <w:rPr>
          <w:rFonts w:ascii="Arial" w:hAnsi="Arial" w:cs="Arial"/>
          <w:i/>
          <w:szCs w:val="28"/>
        </w:rPr>
        <w:t xml:space="preserve"> </w:t>
      </w:r>
      <w:proofErr w:type="spellStart"/>
      <w:r w:rsidRPr="007B7798">
        <w:rPr>
          <w:rFonts w:ascii="Arial" w:hAnsi="Arial" w:cs="Arial"/>
          <w:i/>
          <w:szCs w:val="28"/>
        </w:rPr>
        <w:t>Wage</w:t>
      </w:r>
      <w:proofErr w:type="spellEnd"/>
      <w:r w:rsidRPr="007B7798">
        <w:rPr>
          <w:rFonts w:ascii="Arial" w:hAnsi="Arial" w:cs="Arial"/>
          <w:i/>
          <w:szCs w:val="28"/>
        </w:rPr>
        <w:t xml:space="preserve"> </w:t>
      </w:r>
      <w:proofErr w:type="spellStart"/>
      <w:r w:rsidRPr="007B7798">
        <w:rPr>
          <w:rFonts w:ascii="Arial" w:hAnsi="Arial" w:cs="Arial"/>
          <w:i/>
          <w:szCs w:val="28"/>
        </w:rPr>
        <w:t>Policy</w:t>
      </w:r>
      <w:proofErr w:type="spellEnd"/>
      <w:r w:rsidRPr="007B7798">
        <w:rPr>
          <w:rFonts w:ascii="Arial" w:hAnsi="Arial" w:cs="Arial"/>
          <w:i/>
          <w:szCs w:val="28"/>
        </w:rPr>
        <w:t xml:space="preserve"> </w:t>
      </w:r>
      <w:proofErr w:type="spellStart"/>
      <w:r w:rsidRPr="007B7798">
        <w:rPr>
          <w:rFonts w:ascii="Arial" w:hAnsi="Arial" w:cs="Arial"/>
          <w:i/>
          <w:szCs w:val="28"/>
        </w:rPr>
        <w:t>Guide</w:t>
      </w:r>
      <w:proofErr w:type="spellEnd"/>
      <w:r w:rsidRPr="007B7798">
        <w:rPr>
          <w:rStyle w:val="Refdenotaalpie"/>
          <w:rFonts w:ascii="Arial" w:hAnsi="Arial" w:cs="Arial"/>
          <w:szCs w:val="28"/>
        </w:rPr>
        <w:footnoteReference w:id="12"/>
      </w:r>
      <w:r w:rsidRPr="007B7798">
        <w:rPr>
          <w:rFonts w:ascii="Arial" w:hAnsi="Arial" w:cs="Arial"/>
          <w:szCs w:val="28"/>
        </w:rPr>
        <w:t xml:space="preserve">, reconoce la dificultad de medir el impacto en el empleo del SMI y aconseja programas específicos de cada país para hacer la evaluación, especialmente en los trabajadores más vulnerables y en las empresas. </w:t>
      </w:r>
    </w:p>
    <w:p w14:paraId="49D35D7C" w14:textId="77777777" w:rsidR="00C05533" w:rsidRPr="007B7798" w:rsidRDefault="00C05533" w:rsidP="00C05533">
      <w:pPr>
        <w:spacing w:line="276" w:lineRule="auto"/>
        <w:rPr>
          <w:rFonts w:ascii="Arial" w:hAnsi="Arial" w:cs="Arial"/>
          <w:szCs w:val="28"/>
        </w:rPr>
      </w:pPr>
      <w:r w:rsidRPr="007B7798">
        <w:rPr>
          <w:rFonts w:ascii="Arial" w:hAnsi="Arial" w:cs="Arial"/>
          <w:szCs w:val="28"/>
        </w:rPr>
        <w:t>En</w:t>
      </w:r>
      <w:r>
        <w:rPr>
          <w:rFonts w:ascii="Arial" w:hAnsi="Arial" w:cs="Arial"/>
          <w:szCs w:val="28"/>
        </w:rPr>
        <w:t xml:space="preserve"> </w:t>
      </w:r>
      <w:r w:rsidRPr="007B7798">
        <w:rPr>
          <w:rFonts w:ascii="Arial" w:hAnsi="Arial" w:cs="Arial"/>
          <w:szCs w:val="28"/>
        </w:rPr>
        <w:t xml:space="preserve">el </w:t>
      </w:r>
      <w:r>
        <w:rPr>
          <w:rFonts w:ascii="Arial" w:hAnsi="Arial" w:cs="Arial"/>
          <w:szCs w:val="28"/>
        </w:rPr>
        <w:t xml:space="preserve">segundo </w:t>
      </w:r>
      <w:r w:rsidRPr="007B7798">
        <w:rPr>
          <w:rFonts w:ascii="Arial" w:hAnsi="Arial" w:cs="Arial"/>
          <w:szCs w:val="28"/>
        </w:rPr>
        <w:t xml:space="preserve">mandato de la CAASMI </w:t>
      </w:r>
      <w:r>
        <w:rPr>
          <w:rFonts w:ascii="Arial" w:hAnsi="Arial" w:cs="Arial"/>
          <w:szCs w:val="28"/>
        </w:rPr>
        <w:t xml:space="preserve">se </w:t>
      </w:r>
      <w:r w:rsidRPr="007B7798">
        <w:rPr>
          <w:rFonts w:ascii="Arial" w:hAnsi="Arial" w:cs="Arial"/>
          <w:szCs w:val="28"/>
        </w:rPr>
        <w:t xml:space="preserve">incluía también la encomienda de reflexionar sobre el impacto que podría tener la subida del SMI en los hogares </w:t>
      </w:r>
      <w:r w:rsidRPr="007B7798">
        <w:rPr>
          <w:rFonts w:ascii="Arial" w:hAnsi="Arial" w:cs="Arial"/>
          <w:szCs w:val="28"/>
        </w:rPr>
        <w:lastRenderedPageBreak/>
        <w:t>pobres o en riesgo de pobreza. En el “</w:t>
      </w:r>
      <w:r w:rsidRPr="007B7798">
        <w:rPr>
          <w:rFonts w:ascii="Arial" w:hAnsi="Arial" w:cs="Arial"/>
          <w:i/>
          <w:szCs w:val="28"/>
        </w:rPr>
        <w:t>II Informe de la Comisión Asesora para en Análisis del SMI</w:t>
      </w:r>
      <w:r w:rsidRPr="007B7798">
        <w:rPr>
          <w:rFonts w:ascii="Arial" w:hAnsi="Arial" w:cs="Arial"/>
          <w:szCs w:val="28"/>
        </w:rPr>
        <w:t>”</w:t>
      </w:r>
      <w:r w:rsidRPr="007B7798">
        <w:rPr>
          <w:rStyle w:val="Refdenotaalpie"/>
          <w:rFonts w:ascii="Arial" w:hAnsi="Arial" w:cs="Arial"/>
          <w:szCs w:val="28"/>
        </w:rPr>
        <w:footnoteReference w:id="13"/>
      </w:r>
      <w:r w:rsidRPr="007B7798">
        <w:rPr>
          <w:rFonts w:ascii="Arial" w:hAnsi="Arial" w:cs="Arial"/>
          <w:szCs w:val="28"/>
        </w:rPr>
        <w:t>, hay un capítulo dedicado al impacto en la desigualdad de ingresos</w:t>
      </w:r>
      <w:r>
        <w:rPr>
          <w:rFonts w:ascii="Arial" w:hAnsi="Arial" w:cs="Arial"/>
          <w:szCs w:val="28"/>
        </w:rPr>
        <w:t>, de la brecha salarial entre hombres y mujeres,</w:t>
      </w:r>
      <w:r w:rsidRPr="007B7798">
        <w:rPr>
          <w:rFonts w:ascii="Arial" w:hAnsi="Arial" w:cs="Arial"/>
          <w:szCs w:val="28"/>
        </w:rPr>
        <w:t xml:space="preserve"> y la pobreza monetaria en España, en el que se cita que: “E</w:t>
      </w:r>
      <w:r w:rsidRPr="007B7798">
        <w:rPr>
          <w:rFonts w:ascii="Arial" w:hAnsi="Arial" w:cs="Arial"/>
          <w:i/>
          <w:szCs w:val="28"/>
        </w:rPr>
        <w:t>l aumento del SMI habría tenido un efecto significativo en términos de reducción de la desigualdad salarial y de la renta al aumentar los ingresos de los trabajadores de bajos salarios que, de forma mayoritaria, se ubican en los deciles inferiores de renta</w:t>
      </w:r>
      <w:r w:rsidRPr="007B7798">
        <w:rPr>
          <w:rFonts w:ascii="Arial" w:hAnsi="Arial" w:cs="Arial"/>
          <w:szCs w:val="28"/>
        </w:rPr>
        <w:t>”.</w:t>
      </w:r>
    </w:p>
    <w:p w14:paraId="4CB64C7E" w14:textId="77777777" w:rsidR="00C05533" w:rsidRPr="007B7798" w:rsidRDefault="00C05533" w:rsidP="00C05533">
      <w:pPr>
        <w:spacing w:line="276" w:lineRule="auto"/>
        <w:rPr>
          <w:rFonts w:ascii="Arial" w:hAnsi="Arial" w:cs="Arial"/>
          <w:szCs w:val="28"/>
        </w:rPr>
      </w:pPr>
    </w:p>
    <w:p w14:paraId="08A14D93" w14:textId="77777777" w:rsidR="00C05533" w:rsidRPr="007B7798" w:rsidRDefault="00C05533" w:rsidP="00C05533">
      <w:pPr>
        <w:spacing w:line="24" w:lineRule="atLeast"/>
        <w:rPr>
          <w:rFonts w:ascii="Arial" w:hAnsi="Arial" w:cs="Arial"/>
          <w:szCs w:val="28"/>
          <w:u w:val="single"/>
        </w:rPr>
      </w:pPr>
      <w:r w:rsidRPr="007B7798">
        <w:rPr>
          <w:rFonts w:ascii="Arial" w:hAnsi="Arial" w:cs="Arial"/>
          <w:szCs w:val="28"/>
          <w:u w:val="single"/>
        </w:rPr>
        <w:t>IV. Impacto sobre la competencia</w:t>
      </w:r>
    </w:p>
    <w:p w14:paraId="77554F05" w14:textId="2F29C50A" w:rsidR="00702893" w:rsidRPr="00ED133C" w:rsidRDefault="00C05533" w:rsidP="00C05533">
      <w:pPr>
        <w:spacing w:line="24" w:lineRule="atLeast"/>
        <w:rPr>
          <w:rFonts w:ascii="Arial" w:hAnsi="Arial" w:cs="Arial"/>
          <w:szCs w:val="28"/>
        </w:rPr>
      </w:pPr>
      <w:r w:rsidRPr="007B7798">
        <w:rPr>
          <w:rFonts w:ascii="Arial" w:hAnsi="Arial" w:cs="Arial"/>
          <w:szCs w:val="28"/>
        </w:rPr>
        <w:t xml:space="preserve">El carácter </w:t>
      </w:r>
      <w:r w:rsidRPr="007B7798">
        <w:rPr>
          <w:rFonts w:ascii="Arial" w:hAnsi="Arial" w:cs="Arial"/>
          <w:i/>
          <w:szCs w:val="28"/>
        </w:rPr>
        <w:t>erga omnes</w:t>
      </w:r>
      <w:r w:rsidRPr="007B7798">
        <w:rPr>
          <w:rFonts w:ascii="Arial" w:hAnsi="Arial" w:cs="Arial"/>
          <w:szCs w:val="28"/>
        </w:rPr>
        <w:t xml:space="preserve"> del salario mínimo interprofesional implica la inexistencia de impactos sobre la competencia que se puedan a atribuir a la mera fijación </w:t>
      </w:r>
      <w:proofErr w:type="gramStart"/>
      <w:r w:rsidRPr="007B7798">
        <w:rPr>
          <w:rFonts w:ascii="Arial" w:hAnsi="Arial" w:cs="Arial"/>
          <w:szCs w:val="28"/>
        </w:rPr>
        <w:t>del mismo</w:t>
      </w:r>
      <w:proofErr w:type="gramEnd"/>
      <w:r w:rsidR="00EA035D" w:rsidRPr="00ED133C">
        <w:rPr>
          <w:rFonts w:ascii="Arial" w:hAnsi="Arial" w:cs="Arial"/>
          <w:szCs w:val="28"/>
        </w:rPr>
        <w:t>.</w:t>
      </w:r>
    </w:p>
    <w:p w14:paraId="24AA3E28" w14:textId="0FB776C5" w:rsidR="00E37FB0" w:rsidRPr="00ED133C" w:rsidRDefault="00B84200" w:rsidP="00E35BD4">
      <w:pPr>
        <w:spacing w:line="276" w:lineRule="auto"/>
        <w:rPr>
          <w:rFonts w:ascii="Arial" w:eastAsia="Calibri" w:hAnsi="Arial" w:cs="Arial"/>
          <w:szCs w:val="28"/>
          <w:lang w:eastAsia="en-US"/>
        </w:rPr>
      </w:pPr>
      <w:r w:rsidRPr="00ED133C">
        <w:rPr>
          <w:rFonts w:ascii="Arial" w:eastAsia="Calibri" w:hAnsi="Arial" w:cs="Arial"/>
          <w:szCs w:val="28"/>
          <w:lang w:eastAsia="en-US"/>
        </w:rPr>
        <w:t xml:space="preserve"> </w:t>
      </w:r>
    </w:p>
    <w:p w14:paraId="1EC5762B" w14:textId="170AFE19" w:rsidR="00E15034" w:rsidRDefault="00797D80" w:rsidP="00E35BD4">
      <w:pPr>
        <w:spacing w:line="276" w:lineRule="auto"/>
        <w:rPr>
          <w:rFonts w:ascii="Arial" w:eastAsia="Calibri" w:hAnsi="Arial" w:cs="Arial"/>
          <w:b/>
          <w:szCs w:val="28"/>
          <w:u w:val="single"/>
          <w:lang w:eastAsia="en-US"/>
        </w:rPr>
      </w:pPr>
      <w:r w:rsidRPr="00D27043">
        <w:rPr>
          <w:rFonts w:ascii="Arial" w:eastAsia="Calibri" w:hAnsi="Arial" w:cs="Arial"/>
          <w:b/>
          <w:szCs w:val="28"/>
          <w:lang w:eastAsia="en-US"/>
        </w:rPr>
        <w:t>2</w:t>
      </w:r>
      <w:r w:rsidR="00E15034" w:rsidRPr="00D27043">
        <w:rPr>
          <w:rFonts w:ascii="Arial" w:eastAsia="Calibri" w:hAnsi="Arial" w:cs="Arial"/>
          <w:b/>
          <w:szCs w:val="28"/>
          <w:lang w:eastAsia="en-US"/>
        </w:rPr>
        <w:t xml:space="preserve">. </w:t>
      </w:r>
      <w:r w:rsidR="00E15034" w:rsidRPr="00D27043">
        <w:rPr>
          <w:rFonts w:ascii="Arial" w:eastAsia="Calibri" w:hAnsi="Arial" w:cs="Arial"/>
          <w:b/>
          <w:szCs w:val="28"/>
          <w:u w:val="single"/>
          <w:lang w:eastAsia="en-US"/>
        </w:rPr>
        <w:t xml:space="preserve">IMPACTO PRESUPUESTARIO DEL INCREMENTO DEL SALARIO MÍNIMO INTERPROFESIONAL EN LOS PRESUPUESTOS DE INGRESOS Y GASTOS DE LA SEGURIDAD SOCIAL, </w:t>
      </w:r>
      <w:r w:rsidR="00990AA0" w:rsidRPr="00D27043">
        <w:rPr>
          <w:rFonts w:ascii="Arial" w:eastAsia="Calibri" w:hAnsi="Arial" w:cs="Arial"/>
          <w:b/>
          <w:szCs w:val="28"/>
          <w:u w:val="single"/>
          <w:lang w:eastAsia="en-US"/>
        </w:rPr>
        <w:t xml:space="preserve">DEL </w:t>
      </w:r>
      <w:r w:rsidR="00E15034" w:rsidRPr="00D27043">
        <w:rPr>
          <w:rFonts w:ascii="Arial" w:eastAsia="Calibri" w:hAnsi="Arial" w:cs="Arial"/>
          <w:b/>
          <w:szCs w:val="28"/>
          <w:u w:val="single"/>
          <w:lang w:eastAsia="en-US"/>
        </w:rPr>
        <w:t>FONDO DE GARANTÍA SALARIAL Y DEL SERVICIO PÚBLICO DE EMPLEO ESTATAL</w:t>
      </w:r>
    </w:p>
    <w:p w14:paraId="1BC2BFFA" w14:textId="77777777" w:rsidR="00D27043" w:rsidRPr="00D27043" w:rsidRDefault="00D27043" w:rsidP="00E35BD4">
      <w:pPr>
        <w:spacing w:line="276" w:lineRule="auto"/>
        <w:rPr>
          <w:rFonts w:ascii="Arial" w:eastAsia="Calibri" w:hAnsi="Arial" w:cs="Arial"/>
          <w:b/>
          <w:szCs w:val="28"/>
          <w:lang w:eastAsia="en-US"/>
        </w:rPr>
      </w:pPr>
    </w:p>
    <w:p w14:paraId="18531322" w14:textId="7CE85545" w:rsidR="0048474E" w:rsidRPr="00D27043" w:rsidRDefault="00DB1534" w:rsidP="00EB12E3">
      <w:pPr>
        <w:spacing w:line="276" w:lineRule="auto"/>
        <w:rPr>
          <w:rFonts w:ascii="Arial" w:eastAsia="Calibri" w:hAnsi="Arial" w:cs="Arial"/>
          <w:b/>
          <w:szCs w:val="28"/>
          <w:lang w:eastAsia="en-US"/>
        </w:rPr>
      </w:pPr>
      <w:r w:rsidRPr="00D27043">
        <w:rPr>
          <w:rFonts w:ascii="Arial" w:eastAsia="Calibri" w:hAnsi="Arial" w:cs="Arial"/>
          <w:b/>
          <w:szCs w:val="28"/>
          <w:lang w:eastAsia="en-US"/>
        </w:rPr>
        <w:t>2.1 Presupuesto de la Seguridad Social</w:t>
      </w:r>
    </w:p>
    <w:p w14:paraId="1B35C8EA" w14:textId="11AE5B18" w:rsidR="00BE3FB4"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t xml:space="preserve">Respecto a la incidencia de un incremento de un punto porcentual del S.M.I. en los ingresos por cuotas y en los gastos por prestaciones en la Seguridad Social, dado que de acuerdo con el artículo 19.2 de la Ley General de la Seguridad Social: “Las bases de cotización a la Seguridad Social, en cada uno de sus regímenes, tendrán como tope máximo las cuantías fijadas para cada año por la correspondiente Ley de Presupuestos Generales del Estado y como tope mínimo las cuantías del salario mínimo interprofesional vigente en cada momento, incrementadas en un sexto, salvo disposición expresa en contrario.” La misma subida porcentual que experimente el SMI se repercutirá en diferentes bases, pero también en algunos casos en aquellas que siendo superiores están próxima a esta cuantía. Por lo que la valoración de 1 punto porcentual únicamente es representativa en un escenario de aumento del SMI similar al crecimiento medio salarial esperado. Es decir, este es el efecto estimado de una subida de un 1% del SMI, suponiendo ausencia de efectos de segundo orden sobre el empleo o la distribución salarial. Por otra parte, el impacto de este </w:t>
      </w:r>
      <w:r w:rsidRPr="00E736D9">
        <w:rPr>
          <w:rFonts w:ascii="Arial" w:eastAsia="Calibri" w:hAnsi="Arial" w:cs="Arial"/>
          <w:szCs w:val="28"/>
          <w:lang w:eastAsia="en-US"/>
        </w:rPr>
        <w:lastRenderedPageBreak/>
        <w:t>aumento no es lineal, es decir, un aumento de un 5% no es equivalente a 5 veces el impacto de una subida de un 1%, por lo que esta estimación es estrictamente para 1 pp.</w:t>
      </w:r>
    </w:p>
    <w:p w14:paraId="5AF3E199" w14:textId="26EA044F" w:rsidR="00E736D9" w:rsidRPr="00E736D9" w:rsidRDefault="00BE3FB4" w:rsidP="00E736D9">
      <w:pPr>
        <w:spacing w:line="276" w:lineRule="auto"/>
        <w:rPr>
          <w:rFonts w:ascii="Arial" w:eastAsia="Calibri" w:hAnsi="Arial" w:cs="Arial"/>
          <w:szCs w:val="28"/>
          <w:lang w:eastAsia="en-US"/>
        </w:rPr>
      </w:pPr>
      <w:r>
        <w:rPr>
          <w:rFonts w:ascii="Arial" w:eastAsia="Calibri" w:hAnsi="Arial" w:cs="Arial"/>
          <w:szCs w:val="28"/>
          <w:lang w:eastAsia="en-US"/>
        </w:rPr>
        <w:br/>
      </w:r>
      <w:r w:rsidR="00E736D9" w:rsidRPr="00E736D9">
        <w:rPr>
          <w:rFonts w:ascii="Arial" w:eastAsia="Calibri" w:hAnsi="Arial" w:cs="Arial"/>
          <w:szCs w:val="28"/>
          <w:lang w:eastAsia="en-US"/>
        </w:rPr>
        <w:t>Las bases de la Seguridad Social afectadas por el porcentaje de subida del salario mínimo interprofesional serán las siguientes:</w:t>
      </w:r>
    </w:p>
    <w:p w14:paraId="5922811F" w14:textId="77777777" w:rsidR="00E736D9" w:rsidRPr="00E736D9"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t>-</w:t>
      </w:r>
      <w:r w:rsidRPr="00E736D9">
        <w:rPr>
          <w:rFonts w:ascii="Arial" w:eastAsia="Calibri" w:hAnsi="Arial" w:cs="Arial"/>
          <w:szCs w:val="28"/>
          <w:lang w:eastAsia="en-US"/>
        </w:rPr>
        <w:tab/>
        <w:t xml:space="preserve">En el Régimen General las bases mínimas de los grupos de cotización de los grupos 4 (ayudantes no titulados) hasta el 10 (peones) y 11 (trabajadores menores de 18 años, cualquiera que sea su categoría profesional) cuya base mínima coincide con la del SMI o están en un intervalo próximo al SMI. </w:t>
      </w:r>
    </w:p>
    <w:p w14:paraId="1BC07A99" w14:textId="77777777" w:rsidR="00E736D9" w:rsidRPr="00E736D9"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t>Las categorías de los grupos 1 (Ingenieros y licenciados) al 3 (</w:t>
      </w:r>
      <w:proofErr w:type="gramStart"/>
      <w:r w:rsidRPr="00E736D9">
        <w:rPr>
          <w:rFonts w:ascii="Arial" w:eastAsia="Calibri" w:hAnsi="Arial" w:cs="Arial"/>
          <w:szCs w:val="28"/>
          <w:lang w:eastAsia="en-US"/>
        </w:rPr>
        <w:t>Jefes</w:t>
      </w:r>
      <w:proofErr w:type="gramEnd"/>
      <w:r w:rsidRPr="00E736D9">
        <w:rPr>
          <w:rFonts w:ascii="Arial" w:eastAsia="Calibri" w:hAnsi="Arial" w:cs="Arial"/>
          <w:szCs w:val="28"/>
          <w:lang w:eastAsia="en-US"/>
        </w:rPr>
        <w:t xml:space="preserve"> administración y taller), cuya base mínima es superior al SMI pero aumenta por Ley en la misma proporción que el SMI.</w:t>
      </w:r>
    </w:p>
    <w:p w14:paraId="2F3468CA" w14:textId="4D5298BA" w:rsidR="00E736D9" w:rsidRPr="00E736D9"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t>-</w:t>
      </w:r>
      <w:r w:rsidRPr="00E736D9">
        <w:rPr>
          <w:rFonts w:ascii="Arial" w:eastAsia="Calibri" w:hAnsi="Arial" w:cs="Arial"/>
          <w:szCs w:val="28"/>
          <w:lang w:eastAsia="en-US"/>
        </w:rPr>
        <w:tab/>
        <w:t>Los mismos grupos del Sistema especial para Trabajadores por Cuenta Ajena Agrarios. Los que cotizan por salarios mensuales y los que cotizan por jornadas reales trabajadas.</w:t>
      </w:r>
    </w:p>
    <w:p w14:paraId="37645D1B" w14:textId="310CA63F" w:rsidR="00E736D9" w:rsidRPr="00E736D9"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t>-</w:t>
      </w:r>
      <w:r w:rsidRPr="00E736D9">
        <w:rPr>
          <w:rFonts w:ascii="Arial" w:eastAsia="Calibri" w:hAnsi="Arial" w:cs="Arial"/>
          <w:szCs w:val="28"/>
          <w:lang w:eastAsia="en-US"/>
        </w:rPr>
        <w:tab/>
        <w:t>Las bases de cotización en el Sistema Especial para Empleadas de Hogar.</w:t>
      </w:r>
    </w:p>
    <w:p w14:paraId="6BF0A5A5" w14:textId="73341B6A" w:rsidR="00E736D9" w:rsidRPr="00E736D9"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t>-</w:t>
      </w:r>
      <w:r w:rsidRPr="00E736D9">
        <w:rPr>
          <w:rFonts w:ascii="Arial" w:eastAsia="Calibri" w:hAnsi="Arial" w:cs="Arial"/>
          <w:szCs w:val="28"/>
          <w:lang w:eastAsia="en-US"/>
        </w:rPr>
        <w:tab/>
        <w:t>Las bases de cotización de los contratos de aprendizaje, formación y prácticas.</w:t>
      </w:r>
    </w:p>
    <w:p w14:paraId="1675F892" w14:textId="550D1D91" w:rsidR="00E736D9" w:rsidRPr="00E736D9"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t>-</w:t>
      </w:r>
      <w:r w:rsidRPr="00E736D9">
        <w:rPr>
          <w:rFonts w:ascii="Arial" w:eastAsia="Calibri" w:hAnsi="Arial" w:cs="Arial"/>
          <w:szCs w:val="28"/>
          <w:lang w:eastAsia="en-US"/>
        </w:rPr>
        <w:tab/>
        <w:t>Las bases mínimas por hora aplicables a los contratos de trabajo a tiempo parcial.</w:t>
      </w:r>
    </w:p>
    <w:p w14:paraId="5C4EAAE4" w14:textId="31779EA0" w:rsidR="00E736D9" w:rsidRPr="00E736D9"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t>-</w:t>
      </w:r>
      <w:r w:rsidRPr="00E736D9">
        <w:rPr>
          <w:rFonts w:ascii="Arial" w:eastAsia="Calibri" w:hAnsi="Arial" w:cs="Arial"/>
          <w:szCs w:val="28"/>
          <w:lang w:eastAsia="en-US"/>
        </w:rPr>
        <w:tab/>
        <w:t xml:space="preserve">Las cotizaciones de los perceptores de subsidio de desempleo y los perceptores de prestaciones contributivas de desempleo cuya base está relacionada con la base mínima de cotización a la Seguridad Social o esté en cuantías próximas. </w:t>
      </w:r>
    </w:p>
    <w:p w14:paraId="5982BB02" w14:textId="297CBD51" w:rsidR="00E736D9" w:rsidRPr="00E736D9"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t>-</w:t>
      </w:r>
      <w:r w:rsidRPr="00E736D9">
        <w:rPr>
          <w:rFonts w:ascii="Arial" w:eastAsia="Calibri" w:hAnsi="Arial" w:cs="Arial"/>
          <w:szCs w:val="28"/>
          <w:lang w:eastAsia="en-US"/>
        </w:rPr>
        <w:tab/>
        <w:t>Las bases de cotización de determinados convenios especiales.</w:t>
      </w:r>
    </w:p>
    <w:p w14:paraId="074D1618" w14:textId="77777777" w:rsidR="00E736D9" w:rsidRPr="00E736D9"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t>-</w:t>
      </w:r>
      <w:r w:rsidRPr="00E736D9">
        <w:rPr>
          <w:rFonts w:ascii="Arial" w:eastAsia="Calibri" w:hAnsi="Arial" w:cs="Arial"/>
          <w:szCs w:val="28"/>
          <w:lang w:eastAsia="en-US"/>
        </w:rPr>
        <w:tab/>
        <w:t>Las bases de cotización de los cuidadores de las personas en situación de dependencia, cuyas cuotas están financiadas con cargo al presupuesto del Ministerio de Derechos Sociales y Agenda 2030.</w:t>
      </w:r>
    </w:p>
    <w:p w14:paraId="33554C72" w14:textId="77777777" w:rsidR="00E736D9" w:rsidRPr="00E736D9" w:rsidRDefault="00E736D9" w:rsidP="00E736D9">
      <w:pPr>
        <w:spacing w:line="276" w:lineRule="auto"/>
        <w:rPr>
          <w:rFonts w:ascii="Arial" w:eastAsia="Calibri" w:hAnsi="Arial" w:cs="Arial"/>
          <w:szCs w:val="28"/>
          <w:lang w:eastAsia="en-US"/>
        </w:rPr>
      </w:pPr>
    </w:p>
    <w:p w14:paraId="6A626DF4" w14:textId="77777777" w:rsidR="00E736D9" w:rsidRPr="00E736D9"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t xml:space="preserve">Impacto de la subida de la base de cotización en las cuotas en un </w:t>
      </w:r>
      <w:proofErr w:type="spellStart"/>
      <w:r w:rsidRPr="00E736D9">
        <w:rPr>
          <w:rFonts w:ascii="Arial" w:eastAsia="Calibri" w:hAnsi="Arial" w:cs="Arial"/>
          <w:szCs w:val="28"/>
          <w:lang w:eastAsia="en-US"/>
        </w:rPr>
        <w:t>pp</w:t>
      </w:r>
      <w:proofErr w:type="spellEnd"/>
      <w:r w:rsidRPr="00E736D9">
        <w:rPr>
          <w:rFonts w:ascii="Arial" w:eastAsia="Calibri" w:hAnsi="Arial" w:cs="Arial"/>
          <w:szCs w:val="28"/>
          <w:lang w:eastAsia="en-US"/>
        </w:rPr>
        <w:t xml:space="preserve"> valorado en un escenario de incremento del SMI similar al medio salarial.</w:t>
      </w:r>
    </w:p>
    <w:p w14:paraId="5AF624A9" w14:textId="5AD49C4B" w:rsidR="00E736D9" w:rsidRPr="00E736D9"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t>-</w:t>
      </w:r>
      <w:r w:rsidRPr="00E736D9">
        <w:rPr>
          <w:rFonts w:ascii="Arial" w:eastAsia="Calibri" w:hAnsi="Arial" w:cs="Arial"/>
          <w:szCs w:val="28"/>
          <w:lang w:eastAsia="en-US"/>
        </w:rPr>
        <w:tab/>
        <w:t xml:space="preserve">Régimen General sin sistemas especiales 37,87 millones €.  </w:t>
      </w:r>
    </w:p>
    <w:p w14:paraId="21C6347D" w14:textId="663D5AE3" w:rsidR="00E736D9" w:rsidRPr="00E736D9"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lastRenderedPageBreak/>
        <w:t>-</w:t>
      </w:r>
      <w:r w:rsidRPr="00E736D9">
        <w:rPr>
          <w:rFonts w:ascii="Arial" w:eastAsia="Calibri" w:hAnsi="Arial" w:cs="Arial"/>
          <w:szCs w:val="28"/>
          <w:lang w:eastAsia="en-US"/>
        </w:rPr>
        <w:tab/>
        <w:t xml:space="preserve">Sistema Especial de Trabajadores Agrarios por Cuenta Ajena afectados por la medida. Efecto neto de reducciones 6,65 millones €. </w:t>
      </w:r>
    </w:p>
    <w:p w14:paraId="48AAF533" w14:textId="744716AA" w:rsidR="00E736D9" w:rsidRPr="00E736D9"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t>-</w:t>
      </w:r>
      <w:r w:rsidRPr="00E736D9">
        <w:rPr>
          <w:rFonts w:ascii="Arial" w:eastAsia="Calibri" w:hAnsi="Arial" w:cs="Arial"/>
          <w:szCs w:val="28"/>
          <w:lang w:eastAsia="en-US"/>
        </w:rPr>
        <w:tab/>
        <w:t>Sistema Especial de Empleadas de Hogar afectados por la medida 6,22 millones €.</w:t>
      </w:r>
    </w:p>
    <w:p w14:paraId="0E39355B" w14:textId="0ADDA672" w:rsidR="00E736D9" w:rsidRPr="00E736D9"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t>-</w:t>
      </w:r>
      <w:r w:rsidRPr="00E736D9">
        <w:rPr>
          <w:rFonts w:ascii="Arial" w:eastAsia="Calibri" w:hAnsi="Arial" w:cs="Arial"/>
          <w:szCs w:val="28"/>
          <w:lang w:eastAsia="en-US"/>
        </w:rPr>
        <w:tab/>
        <w:t>Perceptores de prestaciones de desempleo (subsidio y prestación contributiva) 19,49 millones €.</w:t>
      </w:r>
    </w:p>
    <w:p w14:paraId="4F682A18" w14:textId="142C8456" w:rsidR="00E736D9" w:rsidRPr="00E736D9"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t>-</w:t>
      </w:r>
      <w:r w:rsidRPr="00E736D9">
        <w:rPr>
          <w:rFonts w:ascii="Arial" w:eastAsia="Calibri" w:hAnsi="Arial" w:cs="Arial"/>
          <w:szCs w:val="28"/>
          <w:lang w:eastAsia="en-US"/>
        </w:rPr>
        <w:tab/>
        <w:t>Convenios especiales: 1,81 millones €.</w:t>
      </w:r>
    </w:p>
    <w:p w14:paraId="6A23C3B1" w14:textId="77777777" w:rsidR="00E736D9" w:rsidRPr="00E736D9"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t>-</w:t>
      </w:r>
      <w:r w:rsidRPr="00E736D9">
        <w:rPr>
          <w:rFonts w:ascii="Arial" w:eastAsia="Calibri" w:hAnsi="Arial" w:cs="Arial"/>
          <w:szCs w:val="28"/>
          <w:lang w:eastAsia="en-US"/>
        </w:rPr>
        <w:tab/>
        <w:t>Cuidadores no profesionales: 2,19 millones €.</w:t>
      </w:r>
    </w:p>
    <w:p w14:paraId="6E03C36D" w14:textId="77777777" w:rsidR="00E736D9" w:rsidRPr="00E736D9" w:rsidRDefault="00E736D9" w:rsidP="00E736D9">
      <w:pPr>
        <w:spacing w:line="276" w:lineRule="auto"/>
        <w:rPr>
          <w:rFonts w:ascii="Arial" w:eastAsia="Calibri" w:hAnsi="Arial" w:cs="Arial"/>
          <w:szCs w:val="28"/>
          <w:lang w:eastAsia="en-US"/>
        </w:rPr>
      </w:pPr>
    </w:p>
    <w:p w14:paraId="216D10DB" w14:textId="77777777" w:rsidR="00E736D9" w:rsidRPr="00E736D9"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t>La repercusión total asciende a 74,24 M€.</w:t>
      </w:r>
    </w:p>
    <w:p w14:paraId="702C5688" w14:textId="69FC2A0C" w:rsidR="00E736D9" w:rsidRPr="00E736D9"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t>La repercusión en el gasto en otras prestaciones económicas de un punto del S.M.I. en el año 2024 difiere según que se causen subsidios o pensiones, puesto que la base cotización interviene de manera muy diferente en las distintas prestaciones del sistema de la Seguridad Social, con una repercusión más directa en el caso de prestaciones por incapacidad temporal, maternidad, paternidad y riesgo durante el embarazo y la lactancia natural, en función o no de que estos trabajadores causen la prestación.</w:t>
      </w:r>
    </w:p>
    <w:p w14:paraId="7CB09B1B" w14:textId="7000895A" w:rsidR="00D27043" w:rsidRDefault="00E736D9" w:rsidP="00E736D9">
      <w:pPr>
        <w:spacing w:line="276" w:lineRule="auto"/>
        <w:rPr>
          <w:rFonts w:ascii="Arial" w:eastAsia="Calibri" w:hAnsi="Arial" w:cs="Arial"/>
          <w:szCs w:val="28"/>
          <w:lang w:eastAsia="en-US"/>
        </w:rPr>
      </w:pPr>
      <w:r w:rsidRPr="00E736D9">
        <w:rPr>
          <w:rFonts w:ascii="Arial" w:eastAsia="Calibri" w:hAnsi="Arial" w:cs="Arial"/>
          <w:szCs w:val="28"/>
          <w:lang w:eastAsia="en-US"/>
        </w:rPr>
        <w:t xml:space="preserve">En el caso de las pensiones, la repercusión es a largo plazo, no </w:t>
      </w:r>
      <w:proofErr w:type="gramStart"/>
      <w:r w:rsidRPr="00E736D9">
        <w:rPr>
          <w:rFonts w:ascii="Arial" w:eastAsia="Calibri" w:hAnsi="Arial" w:cs="Arial"/>
          <w:szCs w:val="28"/>
          <w:lang w:eastAsia="en-US"/>
        </w:rPr>
        <w:t>obstante</w:t>
      </w:r>
      <w:proofErr w:type="gramEnd"/>
      <w:r w:rsidRPr="00E736D9">
        <w:rPr>
          <w:rFonts w:ascii="Arial" w:eastAsia="Calibri" w:hAnsi="Arial" w:cs="Arial"/>
          <w:szCs w:val="28"/>
          <w:lang w:eastAsia="en-US"/>
        </w:rPr>
        <w:t xml:space="preserve"> al existir la garantía mínima de pensión mínima, el mayor gasto se compensa en gran medida con lo percibido por garantía de mínimo.</w:t>
      </w:r>
    </w:p>
    <w:p w14:paraId="6DE0F0A5" w14:textId="77777777" w:rsidR="00E736D9" w:rsidRDefault="00E736D9" w:rsidP="00E736D9">
      <w:pPr>
        <w:spacing w:line="276" w:lineRule="auto"/>
        <w:rPr>
          <w:rFonts w:ascii="Arial" w:eastAsia="Calibri" w:hAnsi="Arial" w:cs="Arial"/>
          <w:szCs w:val="28"/>
          <w:lang w:eastAsia="en-US"/>
        </w:rPr>
      </w:pPr>
    </w:p>
    <w:p w14:paraId="33CEF51B" w14:textId="1E78004F" w:rsidR="00E15034" w:rsidRPr="00ED133C" w:rsidRDefault="00797D80" w:rsidP="00D27043">
      <w:pPr>
        <w:spacing w:line="276" w:lineRule="auto"/>
        <w:rPr>
          <w:rFonts w:ascii="Arial" w:eastAsia="Calibri" w:hAnsi="Arial" w:cs="Arial"/>
          <w:b/>
          <w:szCs w:val="28"/>
          <w:lang w:eastAsia="en-US"/>
        </w:rPr>
      </w:pPr>
      <w:r w:rsidRPr="00ED133C">
        <w:rPr>
          <w:rFonts w:ascii="Arial" w:eastAsia="Calibri" w:hAnsi="Arial" w:cs="Arial"/>
          <w:b/>
          <w:szCs w:val="28"/>
          <w:lang w:eastAsia="en-US"/>
        </w:rPr>
        <w:t>2</w:t>
      </w:r>
      <w:r w:rsidR="00E15034" w:rsidRPr="00ED133C">
        <w:rPr>
          <w:rFonts w:ascii="Arial" w:eastAsia="Calibri" w:hAnsi="Arial" w:cs="Arial"/>
          <w:b/>
          <w:szCs w:val="28"/>
          <w:lang w:eastAsia="en-US"/>
        </w:rPr>
        <w:t>.2</w:t>
      </w:r>
      <w:r w:rsidR="00E15034" w:rsidRPr="00ED133C">
        <w:rPr>
          <w:rFonts w:ascii="Arial" w:eastAsia="Calibri" w:hAnsi="Arial" w:cs="Arial"/>
          <w:szCs w:val="28"/>
          <w:lang w:eastAsia="en-US"/>
        </w:rPr>
        <w:t>.</w:t>
      </w:r>
      <w:r w:rsidR="00EC1AD6" w:rsidRPr="00ED133C">
        <w:rPr>
          <w:rFonts w:ascii="Arial" w:eastAsia="Calibri" w:hAnsi="Arial" w:cs="Arial"/>
          <w:szCs w:val="28"/>
          <w:lang w:eastAsia="en-US"/>
        </w:rPr>
        <w:t xml:space="preserve"> </w:t>
      </w:r>
      <w:r w:rsidR="00994FF8" w:rsidRPr="00ED133C">
        <w:rPr>
          <w:rFonts w:ascii="Arial" w:eastAsia="Calibri" w:hAnsi="Arial" w:cs="Arial"/>
          <w:b/>
          <w:szCs w:val="28"/>
          <w:lang w:eastAsia="en-US"/>
        </w:rPr>
        <w:t xml:space="preserve">Presupuesto del </w:t>
      </w:r>
      <w:r w:rsidR="00DB1534" w:rsidRPr="00ED133C">
        <w:rPr>
          <w:rFonts w:ascii="Arial" w:eastAsia="Calibri" w:hAnsi="Arial" w:cs="Arial"/>
          <w:b/>
          <w:szCs w:val="28"/>
          <w:lang w:eastAsia="en-US"/>
        </w:rPr>
        <w:t>Fondo de Garantía Salarial</w:t>
      </w:r>
    </w:p>
    <w:p w14:paraId="193C7A3D" w14:textId="402A3926" w:rsidR="00BB6F56" w:rsidRDefault="00AA4A7D" w:rsidP="00BB6F56">
      <w:pPr>
        <w:spacing w:line="276" w:lineRule="auto"/>
        <w:rPr>
          <w:rFonts w:ascii="Arial" w:eastAsia="Calibri" w:hAnsi="Arial" w:cs="Arial"/>
          <w:szCs w:val="28"/>
          <w:lang w:eastAsia="en-US"/>
        </w:rPr>
      </w:pPr>
      <w:r w:rsidRPr="00ED133C">
        <w:rPr>
          <w:rFonts w:ascii="Arial" w:eastAsia="Calibri" w:hAnsi="Arial" w:cs="Arial"/>
          <w:szCs w:val="28"/>
          <w:lang w:eastAsia="en-US"/>
        </w:rPr>
        <w:t>Se incluye cuadro explicativo de la previsión de la incidencia del incremento del 1% del SMI, para el año 202</w:t>
      </w:r>
      <w:r w:rsidR="00746E82">
        <w:rPr>
          <w:rFonts w:ascii="Arial" w:eastAsia="Calibri" w:hAnsi="Arial" w:cs="Arial"/>
          <w:szCs w:val="28"/>
          <w:lang w:eastAsia="en-US"/>
        </w:rPr>
        <w:t>4</w:t>
      </w:r>
      <w:r w:rsidRPr="00ED133C">
        <w:rPr>
          <w:rFonts w:ascii="Arial" w:eastAsia="Calibri" w:hAnsi="Arial" w:cs="Arial"/>
          <w:szCs w:val="28"/>
          <w:lang w:eastAsia="en-US"/>
        </w:rPr>
        <w:t>, en el presupuesto de gastos.</w:t>
      </w:r>
    </w:p>
    <w:p w14:paraId="43F27068" w14:textId="77777777" w:rsidR="00BB6F56" w:rsidRPr="00BB6F56" w:rsidRDefault="00BB6F56" w:rsidP="00BB6F56">
      <w:pPr>
        <w:spacing w:line="276" w:lineRule="auto"/>
        <w:rPr>
          <w:rFonts w:ascii="Arial" w:eastAsia="Calibri" w:hAnsi="Arial" w:cs="Arial"/>
          <w:szCs w:val="28"/>
          <w:lang w:eastAsia="en-US"/>
        </w:rPr>
      </w:pPr>
    </w:p>
    <w:tbl>
      <w:tblPr>
        <w:tblW w:w="10087" w:type="dxa"/>
        <w:tblInd w:w="2" w:type="dxa"/>
        <w:tblCellMar>
          <w:left w:w="0" w:type="dxa"/>
          <w:right w:w="0" w:type="dxa"/>
        </w:tblCellMar>
        <w:tblLook w:val="04A0" w:firstRow="1" w:lastRow="0" w:firstColumn="1" w:lastColumn="0" w:noHBand="0" w:noVBand="1"/>
      </w:tblPr>
      <w:tblGrid>
        <w:gridCol w:w="2695"/>
        <w:gridCol w:w="1313"/>
        <w:gridCol w:w="1541"/>
        <w:gridCol w:w="1728"/>
        <w:gridCol w:w="1641"/>
        <w:gridCol w:w="1541"/>
      </w:tblGrid>
      <w:tr w:rsidR="002F5A8B" w14:paraId="6B7BACC2" w14:textId="77777777" w:rsidTr="00B61B24">
        <w:trPr>
          <w:trHeight w:val="315"/>
        </w:trPr>
        <w:tc>
          <w:tcPr>
            <w:tcW w:w="269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8AF5641" w14:textId="77777777" w:rsidR="002F5A8B" w:rsidRDefault="002F5A8B">
            <w:pPr>
              <w:rPr>
                <w:rFonts w:ascii="Calibri" w:hAnsi="Calibri" w:cs="Calibri"/>
                <w:color w:val="000000"/>
                <w:sz w:val="22"/>
                <w:szCs w:val="22"/>
              </w:rPr>
            </w:pPr>
            <w:r>
              <w:rPr>
                <w:rFonts w:ascii="Calibri" w:hAnsi="Calibri" w:cs="Calibri"/>
                <w:color w:val="000000"/>
                <w:sz w:val="22"/>
                <w:szCs w:val="22"/>
              </w:rPr>
              <w:t> </w:t>
            </w:r>
          </w:p>
        </w:tc>
        <w:tc>
          <w:tcPr>
            <w:tcW w:w="12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98CDD2C" w14:textId="77777777" w:rsidR="002F5A8B" w:rsidRDefault="002F5A8B">
            <w:pPr>
              <w:rPr>
                <w:rFonts w:ascii="Calibri" w:hAnsi="Calibri" w:cs="Calibri"/>
                <w:color w:val="000000"/>
                <w:sz w:val="22"/>
                <w:szCs w:val="22"/>
              </w:rPr>
            </w:pPr>
            <w:r>
              <w:rPr>
                <w:rFonts w:ascii="Calibri" w:hAnsi="Calibri" w:cs="Calibri"/>
                <w:color w:val="000000"/>
                <w:sz w:val="22"/>
                <w:szCs w:val="22"/>
              </w:rPr>
              <w:t>Trabajadores</w:t>
            </w:r>
          </w:p>
        </w:tc>
        <w:tc>
          <w:tcPr>
            <w:tcW w:w="143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C0DA77F" w14:textId="77777777" w:rsidR="002F5A8B" w:rsidRDefault="002F5A8B">
            <w:pPr>
              <w:rPr>
                <w:rFonts w:ascii="Calibri" w:hAnsi="Calibri" w:cs="Calibri"/>
                <w:color w:val="000000"/>
                <w:sz w:val="22"/>
                <w:szCs w:val="22"/>
              </w:rPr>
            </w:pPr>
            <w:r>
              <w:rPr>
                <w:rFonts w:ascii="Calibri" w:hAnsi="Calibri" w:cs="Calibri"/>
                <w:color w:val="000000"/>
                <w:sz w:val="22"/>
                <w:szCs w:val="22"/>
              </w:rPr>
              <w:t>Salarios</w:t>
            </w:r>
          </w:p>
        </w:tc>
        <w:tc>
          <w:tcPr>
            <w:tcW w:w="172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2DF63B0" w14:textId="77777777" w:rsidR="002F5A8B" w:rsidRDefault="002F5A8B">
            <w:pPr>
              <w:rPr>
                <w:rFonts w:ascii="Calibri" w:hAnsi="Calibri" w:cs="Calibri"/>
                <w:color w:val="000000"/>
                <w:sz w:val="22"/>
                <w:szCs w:val="22"/>
              </w:rPr>
            </w:pPr>
            <w:r>
              <w:rPr>
                <w:rFonts w:ascii="Calibri" w:hAnsi="Calibri" w:cs="Calibri"/>
                <w:color w:val="000000"/>
                <w:sz w:val="22"/>
                <w:szCs w:val="22"/>
              </w:rPr>
              <w:t>Salarios de trámite</w:t>
            </w:r>
          </w:p>
        </w:tc>
        <w:tc>
          <w:tcPr>
            <w:tcW w:w="1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F004BC0" w14:textId="77777777" w:rsidR="002F5A8B" w:rsidRDefault="002F5A8B">
            <w:pPr>
              <w:rPr>
                <w:rFonts w:ascii="Calibri" w:hAnsi="Calibri" w:cs="Calibri"/>
                <w:color w:val="000000"/>
                <w:sz w:val="22"/>
                <w:szCs w:val="22"/>
              </w:rPr>
            </w:pPr>
            <w:r>
              <w:rPr>
                <w:rFonts w:ascii="Calibri" w:hAnsi="Calibri" w:cs="Calibri"/>
                <w:color w:val="000000"/>
                <w:sz w:val="22"/>
                <w:szCs w:val="22"/>
              </w:rPr>
              <w:t>Indemnizaciones</w:t>
            </w:r>
          </w:p>
        </w:tc>
        <w:tc>
          <w:tcPr>
            <w:tcW w:w="143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966E569" w14:textId="77777777" w:rsidR="002F5A8B" w:rsidRDefault="002F5A8B">
            <w:pPr>
              <w:rPr>
                <w:rFonts w:ascii="Calibri" w:hAnsi="Calibri" w:cs="Calibri"/>
                <w:color w:val="000000"/>
                <w:sz w:val="22"/>
                <w:szCs w:val="22"/>
              </w:rPr>
            </w:pPr>
            <w:r>
              <w:rPr>
                <w:rFonts w:ascii="Calibri" w:hAnsi="Calibri" w:cs="Calibri"/>
                <w:color w:val="000000"/>
                <w:sz w:val="22"/>
                <w:szCs w:val="22"/>
              </w:rPr>
              <w:t>Total</w:t>
            </w:r>
          </w:p>
        </w:tc>
      </w:tr>
      <w:tr w:rsidR="002F5A8B" w14:paraId="0C95073F" w14:textId="77777777" w:rsidTr="00B61B24">
        <w:trPr>
          <w:trHeight w:val="300"/>
        </w:trPr>
        <w:tc>
          <w:tcPr>
            <w:tcW w:w="269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29F707D" w14:textId="77777777" w:rsidR="002F5A8B" w:rsidRDefault="002F5A8B">
            <w:pPr>
              <w:rPr>
                <w:rFonts w:ascii="Calibri" w:hAnsi="Calibri" w:cs="Calibri"/>
                <w:color w:val="000000"/>
                <w:sz w:val="22"/>
                <w:szCs w:val="22"/>
              </w:rPr>
            </w:pPr>
            <w:r>
              <w:rPr>
                <w:rFonts w:ascii="Calibri" w:hAnsi="Calibri" w:cs="Calibri"/>
                <w:color w:val="000000"/>
                <w:sz w:val="22"/>
                <w:szCs w:val="22"/>
              </w:rPr>
              <w:t>Total 2023 (hasta noviembre):</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AB0F00" w14:textId="77777777" w:rsidR="002F5A8B" w:rsidRDefault="002F5A8B">
            <w:pPr>
              <w:jc w:val="right"/>
              <w:rPr>
                <w:rFonts w:ascii="Calibri" w:hAnsi="Calibri" w:cs="Calibri"/>
                <w:b/>
                <w:bCs/>
                <w:color w:val="0070C0"/>
                <w:sz w:val="22"/>
                <w:szCs w:val="22"/>
              </w:rPr>
            </w:pPr>
            <w:r>
              <w:rPr>
                <w:rFonts w:ascii="Calibri" w:hAnsi="Calibri" w:cs="Calibri"/>
                <w:b/>
                <w:bCs/>
                <w:color w:val="0070C0"/>
                <w:sz w:val="22"/>
                <w:szCs w:val="22"/>
              </w:rPr>
              <w:t>50.596</w:t>
            </w:r>
          </w:p>
        </w:tc>
        <w:tc>
          <w:tcPr>
            <w:tcW w:w="14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6B578E" w14:textId="77777777" w:rsidR="002F5A8B" w:rsidRDefault="002F5A8B">
            <w:pPr>
              <w:jc w:val="right"/>
              <w:rPr>
                <w:rFonts w:ascii="Calibri" w:hAnsi="Calibri" w:cs="Calibri"/>
                <w:b/>
                <w:bCs/>
                <w:color w:val="0070C0"/>
                <w:sz w:val="22"/>
                <w:szCs w:val="22"/>
              </w:rPr>
            </w:pPr>
            <w:r>
              <w:rPr>
                <w:rFonts w:ascii="Calibri" w:hAnsi="Calibri" w:cs="Calibri"/>
                <w:b/>
                <w:bCs/>
                <w:color w:val="0070C0"/>
                <w:sz w:val="22"/>
                <w:szCs w:val="22"/>
              </w:rPr>
              <w:t>118.303.602,53</w:t>
            </w:r>
          </w:p>
        </w:tc>
        <w:tc>
          <w:tcPr>
            <w:tcW w:w="17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ACA4A" w14:textId="77777777" w:rsidR="002F5A8B" w:rsidRDefault="002F5A8B">
            <w:pPr>
              <w:jc w:val="right"/>
              <w:rPr>
                <w:rFonts w:ascii="Calibri" w:hAnsi="Calibri" w:cs="Calibri"/>
                <w:b/>
                <w:bCs/>
                <w:color w:val="0070C0"/>
                <w:sz w:val="22"/>
                <w:szCs w:val="22"/>
              </w:rPr>
            </w:pPr>
            <w:r>
              <w:rPr>
                <w:rFonts w:ascii="Calibri" w:hAnsi="Calibri" w:cs="Calibri"/>
                <w:b/>
                <w:bCs/>
                <w:color w:val="0070C0"/>
                <w:sz w:val="22"/>
                <w:szCs w:val="22"/>
              </w:rPr>
              <w:t>27.181.077,05</w:t>
            </w:r>
          </w:p>
        </w:tc>
        <w:tc>
          <w:tcPr>
            <w:tcW w:w="15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7FF3B59" w14:textId="77777777" w:rsidR="002F5A8B" w:rsidRDefault="002F5A8B">
            <w:pPr>
              <w:jc w:val="right"/>
              <w:rPr>
                <w:rFonts w:ascii="Calibri" w:hAnsi="Calibri" w:cs="Calibri"/>
                <w:b/>
                <w:bCs/>
                <w:color w:val="0070C0"/>
                <w:sz w:val="22"/>
                <w:szCs w:val="22"/>
              </w:rPr>
            </w:pPr>
            <w:r>
              <w:rPr>
                <w:rFonts w:ascii="Calibri" w:hAnsi="Calibri" w:cs="Calibri"/>
                <w:b/>
                <w:bCs/>
                <w:color w:val="0070C0"/>
                <w:sz w:val="22"/>
                <w:szCs w:val="22"/>
              </w:rPr>
              <w:t>283.268.423,68</w:t>
            </w:r>
          </w:p>
        </w:tc>
        <w:tc>
          <w:tcPr>
            <w:tcW w:w="14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947D3A" w14:textId="77777777" w:rsidR="002F5A8B" w:rsidRDefault="002F5A8B">
            <w:pPr>
              <w:jc w:val="right"/>
              <w:rPr>
                <w:rFonts w:ascii="Calibri" w:hAnsi="Calibri" w:cs="Calibri"/>
                <w:b/>
                <w:bCs/>
                <w:color w:val="0070C0"/>
                <w:sz w:val="22"/>
                <w:szCs w:val="22"/>
              </w:rPr>
            </w:pPr>
            <w:r>
              <w:rPr>
                <w:rFonts w:ascii="Calibri" w:hAnsi="Calibri" w:cs="Calibri"/>
                <w:b/>
                <w:bCs/>
                <w:color w:val="0070C0"/>
                <w:sz w:val="22"/>
                <w:szCs w:val="22"/>
              </w:rPr>
              <w:t>428.753.103,26</w:t>
            </w:r>
          </w:p>
        </w:tc>
      </w:tr>
      <w:tr w:rsidR="002F5A8B" w14:paraId="44B95CAE" w14:textId="77777777" w:rsidTr="00B61B24">
        <w:trPr>
          <w:trHeight w:val="300"/>
        </w:trPr>
        <w:tc>
          <w:tcPr>
            <w:tcW w:w="269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C43A1F3" w14:textId="77777777" w:rsidR="002F5A8B" w:rsidRDefault="002F5A8B">
            <w:pPr>
              <w:rPr>
                <w:rFonts w:ascii="Calibri" w:hAnsi="Calibri" w:cs="Calibri"/>
                <w:color w:val="000000"/>
                <w:sz w:val="22"/>
                <w:szCs w:val="22"/>
              </w:rPr>
            </w:pPr>
            <w:r>
              <w:rPr>
                <w:rFonts w:ascii="Calibri" w:hAnsi="Calibri" w:cs="Calibri"/>
                <w:color w:val="000000"/>
                <w:sz w:val="22"/>
                <w:szCs w:val="22"/>
              </w:rPr>
              <w:t>Topados al duplo del SMI:</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9A8CB9B" w14:textId="77777777" w:rsidR="002F5A8B" w:rsidRDefault="002F5A8B">
            <w:pPr>
              <w:jc w:val="right"/>
              <w:rPr>
                <w:rFonts w:ascii="Calibri" w:hAnsi="Calibri" w:cs="Calibri"/>
                <w:b/>
                <w:bCs/>
                <w:color w:val="FF0000"/>
                <w:sz w:val="22"/>
                <w:szCs w:val="22"/>
              </w:rPr>
            </w:pPr>
            <w:r>
              <w:rPr>
                <w:rFonts w:ascii="Calibri" w:hAnsi="Calibri" w:cs="Calibri"/>
                <w:b/>
                <w:bCs/>
                <w:color w:val="FF0000"/>
                <w:sz w:val="22"/>
                <w:szCs w:val="22"/>
              </w:rPr>
              <w:t>2.785</w:t>
            </w:r>
          </w:p>
        </w:tc>
        <w:tc>
          <w:tcPr>
            <w:tcW w:w="14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97DB77" w14:textId="77777777" w:rsidR="002F5A8B" w:rsidRDefault="002F5A8B">
            <w:pPr>
              <w:jc w:val="right"/>
              <w:rPr>
                <w:rFonts w:ascii="Calibri" w:hAnsi="Calibri" w:cs="Calibri"/>
                <w:b/>
                <w:bCs/>
                <w:color w:val="FF0000"/>
                <w:sz w:val="22"/>
                <w:szCs w:val="22"/>
              </w:rPr>
            </w:pPr>
            <w:r>
              <w:rPr>
                <w:rFonts w:ascii="Calibri" w:hAnsi="Calibri" w:cs="Calibri"/>
                <w:b/>
                <w:bCs/>
                <w:color w:val="FF0000"/>
                <w:sz w:val="22"/>
                <w:szCs w:val="22"/>
              </w:rPr>
              <w:t>9.188.463,29</w:t>
            </w:r>
          </w:p>
        </w:tc>
        <w:tc>
          <w:tcPr>
            <w:tcW w:w="17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CB3C1F" w14:textId="77777777" w:rsidR="002F5A8B" w:rsidRDefault="002F5A8B">
            <w:pPr>
              <w:jc w:val="right"/>
              <w:rPr>
                <w:rFonts w:ascii="Calibri" w:hAnsi="Calibri" w:cs="Calibri"/>
                <w:b/>
                <w:bCs/>
                <w:color w:val="FF0000"/>
                <w:sz w:val="22"/>
                <w:szCs w:val="22"/>
              </w:rPr>
            </w:pPr>
            <w:r>
              <w:rPr>
                <w:rFonts w:ascii="Calibri" w:hAnsi="Calibri" w:cs="Calibri"/>
                <w:b/>
                <w:bCs/>
                <w:color w:val="FF0000"/>
                <w:sz w:val="22"/>
                <w:szCs w:val="22"/>
              </w:rPr>
              <w:t>1.241.585,37</w:t>
            </w:r>
          </w:p>
        </w:tc>
        <w:tc>
          <w:tcPr>
            <w:tcW w:w="15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CE4D93" w14:textId="77777777" w:rsidR="002F5A8B" w:rsidRDefault="002F5A8B">
            <w:pPr>
              <w:jc w:val="right"/>
              <w:rPr>
                <w:rFonts w:ascii="Calibri" w:hAnsi="Calibri" w:cs="Calibri"/>
                <w:b/>
                <w:bCs/>
                <w:color w:val="FF0000"/>
                <w:sz w:val="22"/>
                <w:szCs w:val="22"/>
              </w:rPr>
            </w:pPr>
            <w:r>
              <w:rPr>
                <w:rFonts w:ascii="Calibri" w:hAnsi="Calibri" w:cs="Calibri"/>
                <w:b/>
                <w:bCs/>
                <w:color w:val="FF0000"/>
                <w:sz w:val="22"/>
                <w:szCs w:val="22"/>
              </w:rPr>
              <w:t>28.777.895,70</w:t>
            </w:r>
          </w:p>
        </w:tc>
        <w:tc>
          <w:tcPr>
            <w:tcW w:w="14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82D1D9" w14:textId="77777777" w:rsidR="002F5A8B" w:rsidRDefault="002F5A8B">
            <w:pPr>
              <w:jc w:val="right"/>
              <w:rPr>
                <w:rFonts w:ascii="Calibri" w:hAnsi="Calibri" w:cs="Calibri"/>
                <w:b/>
                <w:bCs/>
                <w:color w:val="FF0000"/>
                <w:sz w:val="22"/>
                <w:szCs w:val="22"/>
              </w:rPr>
            </w:pPr>
            <w:r>
              <w:rPr>
                <w:rFonts w:ascii="Calibri" w:hAnsi="Calibri" w:cs="Calibri"/>
                <w:b/>
                <w:bCs/>
                <w:color w:val="FF0000"/>
                <w:sz w:val="22"/>
                <w:szCs w:val="22"/>
              </w:rPr>
              <w:t>39.207.944,36</w:t>
            </w:r>
          </w:p>
        </w:tc>
      </w:tr>
      <w:tr w:rsidR="002F5A8B" w14:paraId="1C63CC10" w14:textId="77777777" w:rsidTr="00B61B24">
        <w:trPr>
          <w:trHeight w:val="300"/>
        </w:trPr>
        <w:tc>
          <w:tcPr>
            <w:tcW w:w="269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62559CD" w14:textId="77777777" w:rsidR="002F5A8B" w:rsidRDefault="002F5A8B">
            <w:pPr>
              <w:rPr>
                <w:rFonts w:ascii="Calibri" w:hAnsi="Calibri" w:cs="Calibri"/>
                <w:color w:val="000000"/>
                <w:sz w:val="22"/>
                <w:szCs w:val="22"/>
              </w:rPr>
            </w:pPr>
            <w:r>
              <w:rPr>
                <w:rFonts w:ascii="Calibri" w:hAnsi="Calibri" w:cs="Calibri"/>
                <w:color w:val="000000"/>
                <w:sz w:val="22"/>
                <w:szCs w:val="22"/>
              </w:rPr>
              <w:t>Incremento 1%:</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F2D81A" w14:textId="77777777" w:rsidR="002F5A8B" w:rsidRDefault="002F5A8B">
            <w:pPr>
              <w:jc w:val="right"/>
              <w:rPr>
                <w:rFonts w:ascii="Calibri" w:hAnsi="Calibri" w:cs="Calibri"/>
                <w:b/>
                <w:bCs/>
                <w:color w:val="00B050"/>
                <w:sz w:val="22"/>
                <w:szCs w:val="22"/>
              </w:rPr>
            </w:pPr>
            <w:r>
              <w:rPr>
                <w:rFonts w:ascii="Calibri" w:hAnsi="Calibri" w:cs="Calibri"/>
                <w:b/>
                <w:bCs/>
                <w:color w:val="00B050"/>
                <w:sz w:val="22"/>
                <w:szCs w:val="22"/>
              </w:rPr>
              <w:t>2.785</w:t>
            </w:r>
          </w:p>
        </w:tc>
        <w:tc>
          <w:tcPr>
            <w:tcW w:w="14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C5933FD" w14:textId="77777777" w:rsidR="002F5A8B" w:rsidRDefault="002F5A8B">
            <w:pPr>
              <w:jc w:val="right"/>
              <w:rPr>
                <w:rFonts w:ascii="Calibri" w:hAnsi="Calibri" w:cs="Calibri"/>
                <w:b/>
                <w:bCs/>
                <w:color w:val="00B050"/>
                <w:sz w:val="22"/>
                <w:szCs w:val="22"/>
              </w:rPr>
            </w:pPr>
            <w:r>
              <w:rPr>
                <w:rFonts w:ascii="Calibri" w:hAnsi="Calibri" w:cs="Calibri"/>
                <w:b/>
                <w:bCs/>
                <w:color w:val="00B050"/>
                <w:sz w:val="22"/>
                <w:szCs w:val="22"/>
              </w:rPr>
              <w:t>9.280.347,92</w:t>
            </w:r>
          </w:p>
        </w:tc>
        <w:tc>
          <w:tcPr>
            <w:tcW w:w="17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2C42E2" w14:textId="77777777" w:rsidR="002F5A8B" w:rsidRDefault="002F5A8B">
            <w:pPr>
              <w:jc w:val="right"/>
              <w:rPr>
                <w:rFonts w:ascii="Calibri" w:hAnsi="Calibri" w:cs="Calibri"/>
                <w:b/>
                <w:bCs/>
                <w:color w:val="00B050"/>
                <w:sz w:val="22"/>
                <w:szCs w:val="22"/>
              </w:rPr>
            </w:pPr>
            <w:r>
              <w:rPr>
                <w:rFonts w:ascii="Calibri" w:hAnsi="Calibri" w:cs="Calibri"/>
                <w:b/>
                <w:bCs/>
                <w:color w:val="00B050"/>
                <w:sz w:val="22"/>
                <w:szCs w:val="22"/>
              </w:rPr>
              <w:t>1.254.001,22</w:t>
            </w:r>
          </w:p>
        </w:tc>
        <w:tc>
          <w:tcPr>
            <w:tcW w:w="15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0EA700" w14:textId="77777777" w:rsidR="002F5A8B" w:rsidRDefault="002F5A8B">
            <w:pPr>
              <w:jc w:val="right"/>
              <w:rPr>
                <w:rFonts w:ascii="Calibri" w:hAnsi="Calibri" w:cs="Calibri"/>
                <w:b/>
                <w:bCs/>
                <w:color w:val="00B050"/>
                <w:sz w:val="22"/>
                <w:szCs w:val="22"/>
              </w:rPr>
            </w:pPr>
            <w:r>
              <w:rPr>
                <w:rFonts w:ascii="Calibri" w:hAnsi="Calibri" w:cs="Calibri"/>
                <w:b/>
                <w:bCs/>
                <w:color w:val="00B050"/>
                <w:sz w:val="22"/>
                <w:szCs w:val="22"/>
              </w:rPr>
              <w:t>29.065.674,66</w:t>
            </w:r>
          </w:p>
        </w:tc>
        <w:tc>
          <w:tcPr>
            <w:tcW w:w="14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3298F1A" w14:textId="77777777" w:rsidR="002F5A8B" w:rsidRDefault="002F5A8B">
            <w:pPr>
              <w:jc w:val="right"/>
              <w:rPr>
                <w:rFonts w:ascii="Calibri" w:hAnsi="Calibri" w:cs="Calibri"/>
                <w:b/>
                <w:bCs/>
                <w:color w:val="00B050"/>
                <w:sz w:val="22"/>
                <w:szCs w:val="22"/>
              </w:rPr>
            </w:pPr>
            <w:r>
              <w:rPr>
                <w:rFonts w:ascii="Calibri" w:hAnsi="Calibri" w:cs="Calibri"/>
                <w:b/>
                <w:bCs/>
                <w:color w:val="00B050"/>
                <w:sz w:val="22"/>
                <w:szCs w:val="22"/>
              </w:rPr>
              <w:t>39.600.023,80</w:t>
            </w:r>
          </w:p>
        </w:tc>
      </w:tr>
      <w:tr w:rsidR="002F5A8B" w14:paraId="2339EA65" w14:textId="77777777" w:rsidTr="00B61B24">
        <w:trPr>
          <w:trHeight w:val="315"/>
        </w:trPr>
        <w:tc>
          <w:tcPr>
            <w:tcW w:w="269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B983FC7" w14:textId="77777777" w:rsidR="002F5A8B" w:rsidRDefault="002F5A8B">
            <w:pPr>
              <w:rPr>
                <w:rFonts w:ascii="Calibri" w:hAnsi="Calibri" w:cs="Calibri"/>
                <w:color w:val="000000"/>
                <w:sz w:val="22"/>
                <w:szCs w:val="22"/>
              </w:rPr>
            </w:pPr>
            <w:r>
              <w:rPr>
                <w:rFonts w:ascii="Calibri" w:hAnsi="Calibri" w:cs="Calibri"/>
                <w:color w:val="000000"/>
                <w:sz w:val="22"/>
                <w:szCs w:val="22"/>
              </w:rPr>
              <w:t>Diferencias:</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D39773" w14:textId="77777777" w:rsidR="002F5A8B" w:rsidRDefault="002F5A8B">
            <w:pPr>
              <w:rPr>
                <w:rFonts w:ascii="Calibri" w:hAnsi="Calibri" w:cs="Calibri"/>
                <w:color w:val="000000"/>
                <w:sz w:val="22"/>
                <w:szCs w:val="22"/>
              </w:rPr>
            </w:pPr>
            <w:r>
              <w:rPr>
                <w:rFonts w:ascii="Calibri" w:hAnsi="Calibri" w:cs="Calibri"/>
                <w:color w:val="000000"/>
                <w:sz w:val="22"/>
                <w:szCs w:val="22"/>
              </w:rPr>
              <w:t> </w:t>
            </w:r>
          </w:p>
        </w:tc>
        <w:tc>
          <w:tcPr>
            <w:tcW w:w="14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265EEAC" w14:textId="77777777" w:rsidR="002F5A8B" w:rsidRDefault="002F5A8B">
            <w:pPr>
              <w:jc w:val="right"/>
              <w:rPr>
                <w:rFonts w:ascii="Calibri" w:hAnsi="Calibri" w:cs="Calibri"/>
                <w:b/>
                <w:bCs/>
                <w:color w:val="000000"/>
                <w:sz w:val="22"/>
                <w:szCs w:val="22"/>
              </w:rPr>
            </w:pPr>
            <w:r>
              <w:rPr>
                <w:rFonts w:ascii="Calibri" w:hAnsi="Calibri" w:cs="Calibri"/>
                <w:b/>
                <w:bCs/>
                <w:color w:val="000000"/>
                <w:sz w:val="22"/>
                <w:szCs w:val="22"/>
              </w:rPr>
              <w:t>91.884,63</w:t>
            </w:r>
          </w:p>
        </w:tc>
        <w:tc>
          <w:tcPr>
            <w:tcW w:w="17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81F26F" w14:textId="77777777" w:rsidR="002F5A8B" w:rsidRDefault="002F5A8B">
            <w:pPr>
              <w:jc w:val="right"/>
              <w:rPr>
                <w:rFonts w:ascii="Calibri" w:hAnsi="Calibri" w:cs="Calibri"/>
                <w:b/>
                <w:bCs/>
                <w:color w:val="000000"/>
                <w:sz w:val="22"/>
                <w:szCs w:val="22"/>
              </w:rPr>
            </w:pPr>
            <w:r>
              <w:rPr>
                <w:rFonts w:ascii="Calibri" w:hAnsi="Calibri" w:cs="Calibri"/>
                <w:b/>
                <w:bCs/>
                <w:color w:val="000000"/>
                <w:sz w:val="22"/>
                <w:szCs w:val="22"/>
              </w:rPr>
              <w:t>12.415,85</w:t>
            </w:r>
          </w:p>
        </w:tc>
        <w:tc>
          <w:tcPr>
            <w:tcW w:w="15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3E5DC6" w14:textId="77777777" w:rsidR="002F5A8B" w:rsidRDefault="002F5A8B">
            <w:pPr>
              <w:jc w:val="right"/>
              <w:rPr>
                <w:rFonts w:ascii="Calibri" w:hAnsi="Calibri" w:cs="Calibri"/>
                <w:b/>
                <w:bCs/>
                <w:color w:val="000000"/>
                <w:sz w:val="22"/>
                <w:szCs w:val="22"/>
              </w:rPr>
            </w:pPr>
            <w:r>
              <w:rPr>
                <w:rFonts w:ascii="Calibri" w:hAnsi="Calibri" w:cs="Calibri"/>
                <w:b/>
                <w:bCs/>
                <w:color w:val="000000"/>
                <w:sz w:val="22"/>
                <w:szCs w:val="22"/>
              </w:rPr>
              <w:t>287.778,96</w:t>
            </w:r>
          </w:p>
        </w:tc>
        <w:tc>
          <w:tcPr>
            <w:tcW w:w="14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A0506A" w14:textId="77777777" w:rsidR="002F5A8B" w:rsidRDefault="002F5A8B">
            <w:pPr>
              <w:jc w:val="right"/>
              <w:rPr>
                <w:rFonts w:ascii="Calibri" w:hAnsi="Calibri" w:cs="Calibri"/>
                <w:b/>
                <w:bCs/>
                <w:color w:val="000000"/>
                <w:sz w:val="22"/>
                <w:szCs w:val="22"/>
              </w:rPr>
            </w:pPr>
            <w:r>
              <w:rPr>
                <w:rFonts w:ascii="Calibri" w:hAnsi="Calibri" w:cs="Calibri"/>
                <w:b/>
                <w:bCs/>
                <w:color w:val="000000"/>
                <w:sz w:val="22"/>
                <w:szCs w:val="22"/>
              </w:rPr>
              <w:t>392.079,44</w:t>
            </w:r>
          </w:p>
        </w:tc>
      </w:tr>
    </w:tbl>
    <w:p w14:paraId="7FE1F024" w14:textId="77777777" w:rsidR="002F5A8B" w:rsidRDefault="002F5A8B" w:rsidP="002F5A8B">
      <w:pPr>
        <w:rPr>
          <w:rFonts w:ascii="Calibri" w:eastAsiaTheme="minorHAnsi" w:hAnsi="Calibri" w:cs="Calibri"/>
          <w:sz w:val="22"/>
          <w:szCs w:val="22"/>
          <w:lang w:eastAsia="en-US"/>
        </w:rPr>
      </w:pPr>
    </w:p>
    <w:p w14:paraId="343D3B99" w14:textId="31AE2CAA" w:rsidR="004D6E7F" w:rsidRPr="002F1498" w:rsidRDefault="00797D80" w:rsidP="002F1498">
      <w:pPr>
        <w:spacing w:line="276" w:lineRule="auto"/>
        <w:rPr>
          <w:rFonts w:ascii="Arial" w:eastAsia="Calibri" w:hAnsi="Arial" w:cs="Arial"/>
          <w:b/>
          <w:szCs w:val="28"/>
          <w:u w:val="single"/>
          <w:lang w:eastAsia="en-US"/>
        </w:rPr>
      </w:pPr>
      <w:r w:rsidRPr="00ED133C">
        <w:rPr>
          <w:rFonts w:ascii="Arial" w:eastAsia="Calibri" w:hAnsi="Arial" w:cs="Arial"/>
          <w:b/>
          <w:szCs w:val="28"/>
          <w:lang w:eastAsia="en-US"/>
        </w:rPr>
        <w:t>2</w:t>
      </w:r>
      <w:r w:rsidR="00E15034" w:rsidRPr="00ED133C">
        <w:rPr>
          <w:rFonts w:ascii="Arial" w:eastAsia="Calibri" w:hAnsi="Arial" w:cs="Arial"/>
          <w:b/>
          <w:szCs w:val="28"/>
          <w:lang w:eastAsia="en-US"/>
        </w:rPr>
        <w:t>.3</w:t>
      </w:r>
      <w:r w:rsidR="00E15034" w:rsidRPr="00ED133C">
        <w:rPr>
          <w:rFonts w:ascii="Arial" w:eastAsia="Calibri" w:hAnsi="Arial" w:cs="Arial"/>
          <w:szCs w:val="28"/>
          <w:lang w:eastAsia="en-US"/>
        </w:rPr>
        <w:t>.</w:t>
      </w:r>
      <w:r w:rsidR="00EC1AD6" w:rsidRPr="00ED133C">
        <w:rPr>
          <w:rFonts w:ascii="Arial" w:eastAsia="Calibri" w:hAnsi="Arial" w:cs="Arial"/>
          <w:szCs w:val="28"/>
          <w:lang w:eastAsia="en-US"/>
        </w:rPr>
        <w:t xml:space="preserve"> </w:t>
      </w:r>
      <w:r w:rsidR="00994FF8" w:rsidRPr="00ED133C">
        <w:rPr>
          <w:rFonts w:ascii="Arial" w:eastAsia="Calibri" w:hAnsi="Arial" w:cs="Arial"/>
          <w:b/>
          <w:szCs w:val="28"/>
          <w:lang w:eastAsia="en-US"/>
        </w:rPr>
        <w:t xml:space="preserve">Presupuesto del </w:t>
      </w:r>
      <w:r w:rsidR="00AF29A1" w:rsidRPr="00ED133C">
        <w:rPr>
          <w:rFonts w:ascii="Arial" w:eastAsia="Calibri" w:hAnsi="Arial" w:cs="Arial"/>
          <w:b/>
          <w:szCs w:val="28"/>
          <w:lang w:eastAsia="en-US"/>
        </w:rPr>
        <w:t>S</w:t>
      </w:r>
      <w:r w:rsidR="00994FF8" w:rsidRPr="00ED133C">
        <w:rPr>
          <w:rFonts w:ascii="Arial" w:eastAsia="Calibri" w:hAnsi="Arial" w:cs="Arial"/>
          <w:b/>
          <w:szCs w:val="28"/>
          <w:lang w:eastAsia="en-US"/>
        </w:rPr>
        <w:t xml:space="preserve">ervicio </w:t>
      </w:r>
      <w:r w:rsidR="00AF29A1" w:rsidRPr="00ED133C">
        <w:rPr>
          <w:rFonts w:ascii="Arial" w:eastAsia="Calibri" w:hAnsi="Arial" w:cs="Arial"/>
          <w:b/>
          <w:szCs w:val="28"/>
          <w:lang w:eastAsia="en-US"/>
        </w:rPr>
        <w:t>P</w:t>
      </w:r>
      <w:r w:rsidR="00994FF8" w:rsidRPr="00ED133C">
        <w:rPr>
          <w:rFonts w:ascii="Arial" w:eastAsia="Calibri" w:hAnsi="Arial" w:cs="Arial"/>
          <w:b/>
          <w:szCs w:val="28"/>
          <w:lang w:eastAsia="en-US"/>
        </w:rPr>
        <w:t xml:space="preserve">úblico de </w:t>
      </w:r>
      <w:r w:rsidR="00AF29A1" w:rsidRPr="00ED133C">
        <w:rPr>
          <w:rFonts w:ascii="Arial" w:eastAsia="Calibri" w:hAnsi="Arial" w:cs="Arial"/>
          <w:b/>
          <w:szCs w:val="28"/>
          <w:lang w:eastAsia="en-US"/>
        </w:rPr>
        <w:t>E</w:t>
      </w:r>
      <w:r w:rsidR="00994FF8" w:rsidRPr="00ED133C">
        <w:rPr>
          <w:rFonts w:ascii="Arial" w:eastAsia="Calibri" w:hAnsi="Arial" w:cs="Arial"/>
          <w:b/>
          <w:szCs w:val="28"/>
          <w:lang w:eastAsia="en-US"/>
        </w:rPr>
        <w:t xml:space="preserve">mpleo </w:t>
      </w:r>
      <w:r w:rsidR="00AF29A1" w:rsidRPr="00ED133C">
        <w:rPr>
          <w:rFonts w:ascii="Arial" w:eastAsia="Calibri" w:hAnsi="Arial" w:cs="Arial"/>
          <w:b/>
          <w:szCs w:val="28"/>
          <w:lang w:eastAsia="en-US"/>
        </w:rPr>
        <w:t>E</w:t>
      </w:r>
      <w:r w:rsidR="00994FF8" w:rsidRPr="00ED133C">
        <w:rPr>
          <w:rFonts w:ascii="Arial" w:eastAsia="Calibri" w:hAnsi="Arial" w:cs="Arial"/>
          <w:b/>
          <w:szCs w:val="28"/>
          <w:lang w:eastAsia="en-US"/>
        </w:rPr>
        <w:t>statal. Estimación de la incidencia en el gasto de prestaciones por desempleo del año 202</w:t>
      </w:r>
      <w:r w:rsidR="00746E82">
        <w:rPr>
          <w:rFonts w:ascii="Arial" w:eastAsia="Calibri" w:hAnsi="Arial" w:cs="Arial"/>
          <w:b/>
          <w:szCs w:val="28"/>
          <w:lang w:eastAsia="en-US"/>
        </w:rPr>
        <w:t>4</w:t>
      </w:r>
      <w:r w:rsidR="00994FF8" w:rsidRPr="00ED133C">
        <w:rPr>
          <w:rFonts w:ascii="Arial" w:eastAsia="Calibri" w:hAnsi="Arial" w:cs="Arial"/>
          <w:b/>
          <w:szCs w:val="28"/>
          <w:lang w:eastAsia="en-US"/>
        </w:rPr>
        <w:t xml:space="preserve"> del incremento en un punto porcentual del salario mínimo interprofesional (SMI).</w:t>
      </w:r>
      <w:bookmarkStart w:id="10" w:name="_Hlk94785704"/>
    </w:p>
    <w:p w14:paraId="562F0147" w14:textId="0CB2BEC5" w:rsidR="002F1498" w:rsidRPr="002F1498" w:rsidRDefault="002F1498" w:rsidP="002F1498">
      <w:pPr>
        <w:ind w:right="276"/>
        <w:rPr>
          <w:rFonts w:ascii="Arial" w:hAnsi="Arial" w:cs="Arial"/>
          <w:szCs w:val="28"/>
        </w:rPr>
      </w:pPr>
      <w:r w:rsidRPr="002F1498">
        <w:rPr>
          <w:rFonts w:ascii="Arial" w:hAnsi="Arial" w:cs="Arial"/>
          <w:szCs w:val="28"/>
        </w:rPr>
        <w:t xml:space="preserve">El incremento en un punto porcentual del salario mínimo interprofesional aumentará el gasto en prestaciones por desempleo porque, por un lado, podría significar un aumento en el número de personas beneficiarias del nivel asistencial y, por otro, un incremento del gasto en la cotización a cargo del Servicio Público de Empleo Estatal. </w:t>
      </w:r>
    </w:p>
    <w:p w14:paraId="0DE323E2" w14:textId="2F6C01DF" w:rsidR="002F1498" w:rsidRPr="002F1498" w:rsidRDefault="002F1498" w:rsidP="002F1498">
      <w:pPr>
        <w:ind w:right="276"/>
        <w:rPr>
          <w:rFonts w:ascii="Arial" w:hAnsi="Arial" w:cs="Arial"/>
          <w:szCs w:val="28"/>
        </w:rPr>
      </w:pPr>
      <w:r>
        <w:rPr>
          <w:rFonts w:ascii="Arial" w:hAnsi="Arial" w:cs="Arial"/>
          <w:szCs w:val="28"/>
        </w:rPr>
        <w:br/>
      </w:r>
      <w:r w:rsidRPr="002F1498">
        <w:rPr>
          <w:rFonts w:ascii="Arial" w:hAnsi="Arial" w:cs="Arial"/>
          <w:szCs w:val="28"/>
        </w:rPr>
        <w:t>El tope máximo de ingresos, tanto en lo que se refiere a las rentas personales como a las de la unidad familiar, para tener derecho a las prestaciones asistenciales que gestiona este organismo se fija a partir del SMI. El incremento en 8,10 euros mensuales sobre el tope de rentas para el acceso al subsidio por desempleo y a la renta activa de inserción y, 10,80 euros para el acceso al subsidio agrario y a la renta agraria, permitirán que un número reducido de personas puedan tener ahora acceso al nivel asistencial, estimado en base a los datos sobre denegaciones por superar rentas para altas iniciales, así como para las prórrogas de subsidios. El cuadro de topes para las distintas prestaciones es:</w:t>
      </w:r>
    </w:p>
    <w:p w14:paraId="5DE43ADD" w14:textId="77777777" w:rsidR="002F1498" w:rsidRPr="002F1498" w:rsidRDefault="002F1498" w:rsidP="002F1498">
      <w:pPr>
        <w:rPr>
          <w:rFonts w:ascii="Arial" w:hAnsi="Arial" w:cs="Arial"/>
          <w:sz w:val="24"/>
          <w:szCs w:val="24"/>
        </w:rPr>
      </w:pPr>
      <w:r w:rsidRPr="002F1498">
        <w:rPr>
          <w:rFonts w:ascii="Arial" w:hAnsi="Arial" w:cs="Arial"/>
          <w:sz w:val="24"/>
          <w:szCs w:val="24"/>
        </w:rPr>
        <w:tab/>
      </w:r>
    </w:p>
    <w:tbl>
      <w:tblPr>
        <w:tblStyle w:val="Tablaconcuadrcula"/>
        <w:tblW w:w="0" w:type="auto"/>
        <w:tblInd w:w="320" w:type="dxa"/>
        <w:tblLook w:val="04A0" w:firstRow="1" w:lastRow="0" w:firstColumn="1" w:lastColumn="0" w:noHBand="0" w:noVBand="1"/>
      </w:tblPr>
      <w:tblGrid>
        <w:gridCol w:w="7001"/>
        <w:gridCol w:w="2533"/>
      </w:tblGrid>
      <w:tr w:rsidR="002F1498" w:rsidRPr="002F1498" w14:paraId="6AC4F162" w14:textId="77777777" w:rsidTr="002F1498">
        <w:trPr>
          <w:trHeight w:val="723"/>
        </w:trPr>
        <w:tc>
          <w:tcPr>
            <w:tcW w:w="0" w:type="auto"/>
            <w:vAlign w:val="center"/>
          </w:tcPr>
          <w:p w14:paraId="17B31F1B" w14:textId="77777777" w:rsidR="002F1498" w:rsidRPr="002F1498" w:rsidRDefault="002F1498" w:rsidP="003E39D6">
            <w:pPr>
              <w:spacing w:before="160" w:after="40"/>
              <w:ind w:left="-241"/>
              <w:jc w:val="center"/>
              <w:rPr>
                <w:rFonts w:ascii="Arial" w:hAnsi="Arial" w:cs="Arial"/>
                <w:sz w:val="24"/>
                <w:szCs w:val="24"/>
              </w:rPr>
            </w:pPr>
            <w:r w:rsidRPr="002F1498">
              <w:rPr>
                <w:rFonts w:ascii="Arial" w:hAnsi="Arial" w:cs="Arial"/>
                <w:sz w:val="24"/>
                <w:szCs w:val="24"/>
              </w:rPr>
              <w:t>TIPO DE SUBSIDIO DEL NIVEL ASISTENCIAL</w:t>
            </w:r>
          </w:p>
        </w:tc>
        <w:tc>
          <w:tcPr>
            <w:tcW w:w="0" w:type="auto"/>
            <w:vAlign w:val="center"/>
          </w:tcPr>
          <w:p w14:paraId="4DBD1B16" w14:textId="77777777" w:rsidR="002F1498" w:rsidRPr="002F1498" w:rsidRDefault="002F1498" w:rsidP="003E39D6">
            <w:pPr>
              <w:spacing w:before="60" w:after="40"/>
              <w:jc w:val="center"/>
              <w:rPr>
                <w:rFonts w:ascii="Arial" w:hAnsi="Arial" w:cs="Arial"/>
                <w:sz w:val="24"/>
                <w:szCs w:val="24"/>
              </w:rPr>
            </w:pPr>
            <w:r w:rsidRPr="002F1498">
              <w:rPr>
                <w:rFonts w:ascii="Arial" w:hAnsi="Arial" w:cs="Arial"/>
                <w:sz w:val="24"/>
                <w:szCs w:val="24"/>
              </w:rPr>
              <w:t>TOPES PARA CÓMPUTO DE RENTAS *</w:t>
            </w:r>
          </w:p>
        </w:tc>
      </w:tr>
      <w:tr w:rsidR="002F1498" w:rsidRPr="002F1498" w14:paraId="70ED59CF" w14:textId="77777777" w:rsidTr="002F1498">
        <w:trPr>
          <w:trHeight w:val="1204"/>
        </w:trPr>
        <w:tc>
          <w:tcPr>
            <w:tcW w:w="0" w:type="auto"/>
            <w:vAlign w:val="center"/>
          </w:tcPr>
          <w:p w14:paraId="206D2701" w14:textId="77777777" w:rsidR="002F1498" w:rsidRPr="002F1498" w:rsidRDefault="002F1498" w:rsidP="003E39D6">
            <w:pPr>
              <w:spacing w:before="80" w:after="40"/>
              <w:ind w:left="142"/>
              <w:rPr>
                <w:rFonts w:ascii="Arial" w:hAnsi="Arial" w:cs="Arial"/>
                <w:sz w:val="24"/>
                <w:szCs w:val="24"/>
              </w:rPr>
            </w:pPr>
            <w:r w:rsidRPr="002F1498">
              <w:rPr>
                <w:rFonts w:ascii="Arial" w:hAnsi="Arial" w:cs="Arial"/>
                <w:sz w:val="24"/>
                <w:szCs w:val="24"/>
              </w:rPr>
              <w:t xml:space="preserve">SUBSIDIOS POR DESEMPLEO </w:t>
            </w:r>
          </w:p>
          <w:p w14:paraId="167E0225" w14:textId="77777777" w:rsidR="002F1498" w:rsidRPr="002F1498" w:rsidRDefault="002F1498" w:rsidP="003E39D6">
            <w:pPr>
              <w:spacing w:before="80" w:after="40"/>
              <w:ind w:left="142"/>
              <w:rPr>
                <w:rFonts w:ascii="Arial" w:hAnsi="Arial" w:cs="Arial"/>
                <w:sz w:val="24"/>
                <w:szCs w:val="24"/>
              </w:rPr>
            </w:pPr>
            <w:r w:rsidRPr="002F1498">
              <w:rPr>
                <w:rFonts w:ascii="Arial" w:hAnsi="Arial" w:cs="Arial"/>
                <w:sz w:val="24"/>
                <w:szCs w:val="24"/>
              </w:rPr>
              <w:t xml:space="preserve">(Agotamiento de prestación contributiva, cotización inferior a 360 días, mayores de 52 años, fijos discontinuos, emigrantes </w:t>
            </w:r>
            <w:proofErr w:type="gramStart"/>
            <w:r w:rsidRPr="002F1498">
              <w:rPr>
                <w:rFonts w:ascii="Arial" w:hAnsi="Arial" w:cs="Arial"/>
                <w:sz w:val="24"/>
                <w:szCs w:val="24"/>
              </w:rPr>
              <w:t>retornados,…</w:t>
            </w:r>
            <w:proofErr w:type="gramEnd"/>
            <w:r w:rsidRPr="002F1498">
              <w:rPr>
                <w:rFonts w:ascii="Arial" w:hAnsi="Arial" w:cs="Arial"/>
                <w:sz w:val="24"/>
                <w:szCs w:val="24"/>
              </w:rPr>
              <w:t>)</w:t>
            </w:r>
          </w:p>
        </w:tc>
        <w:tc>
          <w:tcPr>
            <w:tcW w:w="0" w:type="auto"/>
            <w:vAlign w:val="center"/>
          </w:tcPr>
          <w:p w14:paraId="7B25026E" w14:textId="77777777" w:rsidR="002F1498" w:rsidRPr="002F1498" w:rsidRDefault="002F1498" w:rsidP="003E39D6">
            <w:pPr>
              <w:spacing w:before="60" w:after="100"/>
              <w:jc w:val="center"/>
              <w:rPr>
                <w:rFonts w:ascii="Arial" w:hAnsi="Arial" w:cs="Arial"/>
                <w:sz w:val="24"/>
                <w:szCs w:val="24"/>
              </w:rPr>
            </w:pPr>
            <w:r w:rsidRPr="002F1498">
              <w:rPr>
                <w:rFonts w:ascii="Arial" w:hAnsi="Arial" w:cs="Arial"/>
                <w:sz w:val="24"/>
                <w:szCs w:val="24"/>
              </w:rPr>
              <w:t>75% SMI</w:t>
            </w:r>
          </w:p>
          <w:p w14:paraId="55DB309E" w14:textId="77777777" w:rsidR="002F1498" w:rsidRPr="002F1498" w:rsidRDefault="002F1498" w:rsidP="003E39D6">
            <w:pPr>
              <w:jc w:val="center"/>
              <w:rPr>
                <w:rFonts w:ascii="Arial" w:hAnsi="Arial" w:cs="Arial"/>
                <w:sz w:val="24"/>
                <w:szCs w:val="24"/>
              </w:rPr>
            </w:pPr>
            <w:r w:rsidRPr="002F1498">
              <w:rPr>
                <w:rFonts w:ascii="Arial" w:hAnsi="Arial" w:cs="Arial"/>
                <w:sz w:val="24"/>
                <w:szCs w:val="24"/>
              </w:rPr>
              <w:t>Actualmente 810,00 €</w:t>
            </w:r>
          </w:p>
          <w:p w14:paraId="54E50493" w14:textId="77777777" w:rsidR="002F1498" w:rsidRPr="002F1498" w:rsidRDefault="002F1498" w:rsidP="003E39D6">
            <w:pPr>
              <w:jc w:val="center"/>
              <w:rPr>
                <w:rFonts w:ascii="Arial" w:hAnsi="Arial" w:cs="Arial"/>
                <w:sz w:val="24"/>
                <w:szCs w:val="24"/>
              </w:rPr>
            </w:pPr>
            <w:r w:rsidRPr="002F1498">
              <w:rPr>
                <w:rFonts w:ascii="Arial" w:hAnsi="Arial" w:cs="Arial"/>
                <w:sz w:val="24"/>
                <w:szCs w:val="24"/>
              </w:rPr>
              <w:t>Con el incremento 818,10 €</w:t>
            </w:r>
          </w:p>
        </w:tc>
      </w:tr>
      <w:tr w:rsidR="002F1498" w:rsidRPr="002F1498" w14:paraId="140B5C18" w14:textId="77777777" w:rsidTr="002F1498">
        <w:trPr>
          <w:trHeight w:val="963"/>
        </w:trPr>
        <w:tc>
          <w:tcPr>
            <w:tcW w:w="0" w:type="auto"/>
            <w:vAlign w:val="center"/>
          </w:tcPr>
          <w:p w14:paraId="5C9B554E" w14:textId="77777777" w:rsidR="002F1498" w:rsidRPr="002F1498" w:rsidRDefault="002F1498" w:rsidP="003E39D6">
            <w:pPr>
              <w:spacing w:before="80" w:after="60"/>
              <w:ind w:left="142"/>
              <w:rPr>
                <w:rFonts w:ascii="Arial" w:hAnsi="Arial" w:cs="Arial"/>
                <w:sz w:val="24"/>
                <w:szCs w:val="24"/>
              </w:rPr>
            </w:pPr>
            <w:r w:rsidRPr="002F1498">
              <w:rPr>
                <w:rFonts w:ascii="Arial" w:hAnsi="Arial" w:cs="Arial"/>
                <w:sz w:val="24"/>
                <w:szCs w:val="24"/>
              </w:rPr>
              <w:t>SUBSIDIO PARA TRABAJADORES EVENTUALES DEL SISTEMA ESPECIAL AGRARIO DE LA SEGURIDAD SOCIAL DE ANDALUCÍA Y EXTREMADURA</w:t>
            </w:r>
          </w:p>
        </w:tc>
        <w:tc>
          <w:tcPr>
            <w:tcW w:w="0" w:type="auto"/>
            <w:vAlign w:val="center"/>
          </w:tcPr>
          <w:p w14:paraId="4E247BF5" w14:textId="77777777" w:rsidR="002F1498" w:rsidRPr="002F1498" w:rsidRDefault="002F1498" w:rsidP="003E39D6">
            <w:pPr>
              <w:spacing w:before="60" w:after="100"/>
              <w:jc w:val="center"/>
              <w:rPr>
                <w:rFonts w:ascii="Arial" w:hAnsi="Arial" w:cs="Arial"/>
                <w:sz w:val="24"/>
                <w:szCs w:val="24"/>
              </w:rPr>
            </w:pPr>
            <w:r w:rsidRPr="002F1498">
              <w:rPr>
                <w:rFonts w:ascii="Arial" w:hAnsi="Arial" w:cs="Arial"/>
                <w:sz w:val="24"/>
                <w:szCs w:val="24"/>
              </w:rPr>
              <w:t>100% SMI</w:t>
            </w:r>
          </w:p>
          <w:p w14:paraId="68B4520C" w14:textId="77777777" w:rsidR="002F1498" w:rsidRPr="002F1498" w:rsidRDefault="002F1498" w:rsidP="003E39D6">
            <w:pPr>
              <w:jc w:val="center"/>
              <w:rPr>
                <w:rFonts w:ascii="Arial" w:hAnsi="Arial" w:cs="Arial"/>
                <w:sz w:val="24"/>
                <w:szCs w:val="24"/>
              </w:rPr>
            </w:pPr>
            <w:r w:rsidRPr="002F1498">
              <w:rPr>
                <w:rFonts w:ascii="Arial" w:hAnsi="Arial" w:cs="Arial"/>
                <w:sz w:val="24"/>
                <w:szCs w:val="24"/>
              </w:rPr>
              <w:t>Actualmente 1.080,00 €</w:t>
            </w:r>
          </w:p>
          <w:p w14:paraId="68BC93B6" w14:textId="77777777" w:rsidR="002F1498" w:rsidRPr="002F1498" w:rsidRDefault="002F1498" w:rsidP="003E39D6">
            <w:pPr>
              <w:jc w:val="center"/>
              <w:rPr>
                <w:rFonts w:ascii="Arial" w:hAnsi="Arial" w:cs="Arial"/>
                <w:sz w:val="24"/>
                <w:szCs w:val="24"/>
              </w:rPr>
            </w:pPr>
            <w:r w:rsidRPr="002F1498">
              <w:rPr>
                <w:rFonts w:ascii="Arial" w:hAnsi="Arial" w:cs="Arial"/>
                <w:sz w:val="24"/>
                <w:szCs w:val="24"/>
              </w:rPr>
              <w:t>Con el incremento 1.090,80 €</w:t>
            </w:r>
          </w:p>
          <w:p w14:paraId="257BA8E7" w14:textId="77777777" w:rsidR="002F1498" w:rsidRPr="002F1498" w:rsidRDefault="002F1498" w:rsidP="003E39D6">
            <w:pPr>
              <w:spacing w:line="60" w:lineRule="atLeast"/>
              <w:rPr>
                <w:rFonts w:ascii="Arial" w:hAnsi="Arial" w:cs="Arial"/>
                <w:sz w:val="24"/>
                <w:szCs w:val="24"/>
              </w:rPr>
            </w:pPr>
          </w:p>
        </w:tc>
      </w:tr>
      <w:tr w:rsidR="002F1498" w:rsidRPr="002F1498" w14:paraId="793729DF" w14:textId="77777777" w:rsidTr="002F1498">
        <w:trPr>
          <w:trHeight w:val="577"/>
        </w:trPr>
        <w:tc>
          <w:tcPr>
            <w:tcW w:w="0" w:type="auto"/>
            <w:vAlign w:val="center"/>
          </w:tcPr>
          <w:p w14:paraId="12D8C4B6" w14:textId="77777777" w:rsidR="002F1498" w:rsidRPr="002F1498" w:rsidRDefault="002F1498" w:rsidP="003E39D6">
            <w:pPr>
              <w:spacing w:before="80" w:after="60"/>
              <w:ind w:left="142"/>
              <w:rPr>
                <w:rFonts w:ascii="Arial" w:hAnsi="Arial" w:cs="Arial"/>
                <w:sz w:val="24"/>
                <w:szCs w:val="24"/>
              </w:rPr>
            </w:pPr>
            <w:r w:rsidRPr="002F1498">
              <w:rPr>
                <w:rFonts w:ascii="Arial" w:hAnsi="Arial" w:cs="Arial"/>
                <w:sz w:val="24"/>
                <w:szCs w:val="24"/>
              </w:rPr>
              <w:t>RENTA AGRARIA (RA)</w:t>
            </w:r>
          </w:p>
        </w:tc>
        <w:tc>
          <w:tcPr>
            <w:tcW w:w="0" w:type="auto"/>
            <w:vAlign w:val="center"/>
          </w:tcPr>
          <w:p w14:paraId="20FF323E" w14:textId="77777777" w:rsidR="002F1498" w:rsidRPr="002F1498" w:rsidRDefault="002F1498" w:rsidP="003E39D6">
            <w:pPr>
              <w:spacing w:before="80"/>
              <w:jc w:val="center"/>
              <w:rPr>
                <w:rFonts w:ascii="Arial" w:hAnsi="Arial" w:cs="Arial"/>
                <w:sz w:val="24"/>
                <w:szCs w:val="24"/>
              </w:rPr>
            </w:pPr>
            <w:r w:rsidRPr="002F1498">
              <w:rPr>
                <w:rFonts w:ascii="Arial" w:hAnsi="Arial" w:cs="Arial"/>
                <w:sz w:val="24"/>
                <w:szCs w:val="24"/>
              </w:rPr>
              <w:t>100% SMI</w:t>
            </w:r>
          </w:p>
        </w:tc>
      </w:tr>
      <w:tr w:rsidR="002F1498" w:rsidRPr="002F1498" w14:paraId="15F7B88B" w14:textId="77777777" w:rsidTr="002F1498">
        <w:trPr>
          <w:trHeight w:val="577"/>
        </w:trPr>
        <w:tc>
          <w:tcPr>
            <w:tcW w:w="0" w:type="auto"/>
            <w:vAlign w:val="center"/>
          </w:tcPr>
          <w:p w14:paraId="544E3670" w14:textId="77777777" w:rsidR="002F1498" w:rsidRPr="002F1498" w:rsidRDefault="002F1498" w:rsidP="003E39D6">
            <w:pPr>
              <w:spacing w:before="80" w:after="60"/>
              <w:ind w:left="142"/>
              <w:rPr>
                <w:rFonts w:ascii="Arial" w:hAnsi="Arial" w:cs="Arial"/>
                <w:sz w:val="24"/>
                <w:szCs w:val="24"/>
              </w:rPr>
            </w:pPr>
            <w:r w:rsidRPr="002F1498">
              <w:rPr>
                <w:rFonts w:ascii="Arial" w:hAnsi="Arial" w:cs="Arial"/>
                <w:sz w:val="24"/>
                <w:szCs w:val="24"/>
              </w:rPr>
              <w:t>RENTA ACTIVA DE INSERCIÓN (RAI)</w:t>
            </w:r>
          </w:p>
        </w:tc>
        <w:tc>
          <w:tcPr>
            <w:tcW w:w="0" w:type="auto"/>
            <w:vAlign w:val="center"/>
          </w:tcPr>
          <w:p w14:paraId="578B4C37" w14:textId="77777777" w:rsidR="002F1498" w:rsidRPr="002F1498" w:rsidRDefault="002F1498" w:rsidP="003E39D6">
            <w:pPr>
              <w:spacing w:before="80"/>
              <w:jc w:val="center"/>
              <w:rPr>
                <w:rFonts w:ascii="Arial" w:hAnsi="Arial" w:cs="Arial"/>
                <w:sz w:val="24"/>
                <w:szCs w:val="24"/>
              </w:rPr>
            </w:pPr>
            <w:r w:rsidRPr="002F1498">
              <w:rPr>
                <w:rFonts w:ascii="Arial" w:hAnsi="Arial" w:cs="Arial"/>
                <w:sz w:val="24"/>
                <w:szCs w:val="24"/>
              </w:rPr>
              <w:t>75% SMI</w:t>
            </w:r>
          </w:p>
        </w:tc>
      </w:tr>
    </w:tbl>
    <w:p w14:paraId="0DFD5822" w14:textId="4774E220" w:rsidR="002F1498" w:rsidRPr="002F1498" w:rsidRDefault="002F1498" w:rsidP="002F1498">
      <w:pPr>
        <w:spacing w:before="80"/>
        <w:ind w:left="363"/>
        <w:rPr>
          <w:rFonts w:ascii="Arial" w:hAnsi="Arial" w:cs="Arial"/>
          <w:sz w:val="24"/>
          <w:szCs w:val="24"/>
        </w:rPr>
      </w:pPr>
      <w:r w:rsidRPr="002F1498">
        <w:rPr>
          <w:rFonts w:ascii="Arial" w:hAnsi="Arial" w:cs="Arial"/>
          <w:sz w:val="24"/>
          <w:szCs w:val="24"/>
        </w:rPr>
        <w:t>* Excluidas las pagas extraordinarias.</w:t>
      </w:r>
    </w:p>
    <w:p w14:paraId="6DBC9B63" w14:textId="6C35B305" w:rsidR="002F1498" w:rsidRPr="002F1498" w:rsidRDefault="002F1498" w:rsidP="002F1498">
      <w:pPr>
        <w:ind w:right="276"/>
        <w:rPr>
          <w:rFonts w:ascii="Arial" w:hAnsi="Arial" w:cs="Arial"/>
          <w:szCs w:val="28"/>
        </w:rPr>
      </w:pPr>
      <w:r>
        <w:rPr>
          <w:rFonts w:ascii="Arial" w:hAnsi="Arial" w:cs="Arial"/>
          <w:szCs w:val="28"/>
        </w:rPr>
        <w:lastRenderedPageBreak/>
        <w:br/>
      </w:r>
      <w:r w:rsidRPr="002F1498">
        <w:rPr>
          <w:rFonts w:ascii="Arial" w:hAnsi="Arial" w:cs="Arial"/>
          <w:szCs w:val="28"/>
        </w:rPr>
        <w:t>En cuanto a las cotizaciones que acompañan a las prestaciones por desempleo que este organismo gestiona, existirá un aumento del gasto al haber un incremento de la base mínima de cotización, base por la que el Servicio Público de Empleo Estatal está obligado a cotizar por las personas beneficiarias de la prestación contributiva, del subsidio de mayores de 52 años y del subsidio para personas trabajadoras eventuales del Sistema Especial Agrario de Andalucía y Extremadura.</w:t>
      </w:r>
    </w:p>
    <w:p w14:paraId="21538190" w14:textId="0C63B710" w:rsidR="002F1498" w:rsidRPr="002F1498" w:rsidRDefault="002F1498" w:rsidP="002F1498">
      <w:pPr>
        <w:ind w:right="276"/>
        <w:rPr>
          <w:rFonts w:ascii="Arial" w:hAnsi="Arial" w:cs="Arial"/>
          <w:szCs w:val="28"/>
        </w:rPr>
      </w:pPr>
      <w:r w:rsidRPr="002F1498">
        <w:rPr>
          <w:rFonts w:ascii="Arial" w:hAnsi="Arial" w:cs="Arial"/>
          <w:szCs w:val="28"/>
        </w:rPr>
        <w:t>Paralelamente se producirá un incremento en los ingresos afectados al Servicio Público de Empleo Estatal, debido al aumento de la cotización a la contingencia de desempleo de las personas trabajadoras que coticen por la base mínima. Este incremento de los ingresos se estima, para el año 2023, en 32,8 millones de euros, teniendo en cuenta un 12% de cotizantes al SMI (unos 2,5M de cotizantes respecto de los 20,72M de cotizantes que existieron en media en septiembre), teniendo en cuenta unas previsiones de liquidación de la cuota de desempleo de 2023 en torno a los 27.300M de euros.</w:t>
      </w:r>
    </w:p>
    <w:p w14:paraId="10BD6340" w14:textId="29AB0C3C" w:rsidR="00A318EA" w:rsidRDefault="002F1498" w:rsidP="002F1498">
      <w:pPr>
        <w:spacing w:before="0" w:after="0"/>
        <w:ind w:right="276"/>
        <w:rPr>
          <w:rFonts w:ascii="Arial" w:hAnsi="Arial" w:cs="Arial"/>
          <w:szCs w:val="28"/>
        </w:rPr>
      </w:pPr>
      <w:r w:rsidRPr="002F1498">
        <w:rPr>
          <w:rFonts w:ascii="Arial" w:hAnsi="Arial" w:cs="Arial"/>
          <w:szCs w:val="28"/>
        </w:rPr>
        <w:t>En la tabla que se adjunta se refleja la cuantificación de los incrementos del gasto anual, para cada uno de los casos comentados, derivados del incremento de un punto el SMI, según la estimación de beneficiarios de prestaciones contemplada para 2024 y la información de beneficiarios y gasto en prestaciones disponible hasta septiembre de 2023</w:t>
      </w:r>
      <w:r>
        <w:rPr>
          <w:rFonts w:ascii="Arial" w:hAnsi="Arial" w:cs="Arial"/>
          <w:szCs w:val="28"/>
        </w:rPr>
        <w:t>.</w:t>
      </w:r>
    </w:p>
    <w:p w14:paraId="203887A5" w14:textId="2ACADFBF" w:rsidR="002F1498" w:rsidRDefault="002F1498" w:rsidP="002F1498">
      <w:pPr>
        <w:spacing w:before="0" w:after="0"/>
        <w:ind w:right="276"/>
        <w:rPr>
          <w:rFonts w:ascii="Arial" w:hAnsi="Arial" w:cs="Arial"/>
          <w:szCs w:val="28"/>
        </w:rPr>
      </w:pPr>
    </w:p>
    <w:p w14:paraId="5C72361D" w14:textId="6C87B495" w:rsidR="002F1498" w:rsidRPr="002F1498" w:rsidRDefault="002F1498" w:rsidP="00B61B24">
      <w:pPr>
        <w:widowControl w:val="0"/>
        <w:rPr>
          <w:rFonts w:ascii="Arial" w:hAnsi="Arial" w:cs="Arial"/>
          <w:b/>
          <w:sz w:val="24"/>
          <w:szCs w:val="24"/>
          <w:u w:val="single"/>
        </w:rPr>
      </w:pPr>
      <w:bookmarkStart w:id="11" w:name="_GoBack"/>
      <w:bookmarkEnd w:id="11"/>
      <w:r w:rsidRPr="00D00C0F">
        <w:rPr>
          <w:rFonts w:ascii="Arial" w:hAnsi="Arial" w:cs="Arial"/>
          <w:b/>
          <w:sz w:val="24"/>
          <w:szCs w:val="24"/>
          <w:u w:val="single"/>
        </w:rPr>
        <w:t>INCREMENTO DE GASTOS</w:t>
      </w:r>
      <w:r>
        <w:rPr>
          <w:rFonts w:ascii="Arial" w:hAnsi="Arial" w:cs="Arial"/>
          <w:b/>
          <w:sz w:val="24"/>
          <w:szCs w:val="24"/>
          <w:u w:val="single"/>
        </w:rPr>
        <w:t xml:space="preserve"> </w:t>
      </w:r>
      <w:r w:rsidRPr="00D96B72">
        <w:rPr>
          <w:rFonts w:ascii="Arial" w:hAnsi="Arial" w:cs="Arial"/>
          <w:b/>
          <w:sz w:val="24"/>
          <w:szCs w:val="24"/>
          <w:u w:val="single"/>
        </w:rPr>
        <w:t>AÑO 202</w:t>
      </w:r>
      <w:r>
        <w:rPr>
          <w:rFonts w:ascii="Arial" w:hAnsi="Arial" w:cs="Arial"/>
          <w:b/>
          <w:sz w:val="24"/>
          <w:szCs w:val="24"/>
          <w:u w:val="single"/>
        </w:rPr>
        <w:t>4</w:t>
      </w:r>
    </w:p>
    <w:tbl>
      <w:tblPr>
        <w:tblpPr w:leftFromText="141" w:rightFromText="141" w:vertAnchor="page" w:horzAnchor="margin" w:tblpY="1571"/>
        <w:tblW w:w="9944" w:type="dxa"/>
        <w:tblCellMar>
          <w:left w:w="70" w:type="dxa"/>
          <w:right w:w="70" w:type="dxa"/>
        </w:tblCellMar>
        <w:tblLook w:val="04A0" w:firstRow="1" w:lastRow="0" w:firstColumn="1" w:lastColumn="0" w:noHBand="0" w:noVBand="1"/>
      </w:tblPr>
      <w:tblGrid>
        <w:gridCol w:w="2684"/>
        <w:gridCol w:w="2288"/>
        <w:gridCol w:w="2486"/>
        <w:gridCol w:w="2486"/>
      </w:tblGrid>
      <w:tr w:rsidR="002F1498" w:rsidRPr="00546B51" w14:paraId="7AAAC463" w14:textId="77777777" w:rsidTr="002F1498">
        <w:trPr>
          <w:trHeight w:val="416"/>
        </w:trPr>
        <w:tc>
          <w:tcPr>
            <w:tcW w:w="2684"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14:paraId="22A02EFE" w14:textId="77777777" w:rsidR="002F1498" w:rsidRPr="002F1498" w:rsidRDefault="002F1498" w:rsidP="00B61B24">
            <w:pPr>
              <w:widowControl w:val="0"/>
              <w:jc w:val="center"/>
              <w:rPr>
                <w:rFonts w:ascii="Arial" w:hAnsi="Arial" w:cs="Arial"/>
                <w:b/>
                <w:bCs/>
                <w:color w:val="000000"/>
                <w:sz w:val="24"/>
                <w:szCs w:val="24"/>
              </w:rPr>
            </w:pPr>
            <w:r w:rsidRPr="002F1498">
              <w:rPr>
                <w:rFonts w:ascii="Arial" w:hAnsi="Arial" w:cs="Arial"/>
                <w:b/>
                <w:bCs/>
                <w:color w:val="000000"/>
                <w:sz w:val="24"/>
                <w:szCs w:val="24"/>
              </w:rPr>
              <w:t>TIPO DE PRESTACIÓN</w:t>
            </w:r>
          </w:p>
        </w:tc>
        <w:tc>
          <w:tcPr>
            <w:tcW w:w="2288" w:type="dxa"/>
            <w:tcBorders>
              <w:top w:val="single" w:sz="8" w:space="0" w:color="auto"/>
              <w:left w:val="nil"/>
              <w:bottom w:val="nil"/>
              <w:right w:val="single" w:sz="8" w:space="0" w:color="auto"/>
            </w:tcBorders>
            <w:shd w:val="clear" w:color="000000" w:fill="FFFFFF"/>
            <w:vAlign w:val="center"/>
            <w:hideMark/>
          </w:tcPr>
          <w:p w14:paraId="7637994A" w14:textId="77777777" w:rsidR="002F1498" w:rsidRPr="002F1498" w:rsidRDefault="002F1498" w:rsidP="00B61B24">
            <w:pPr>
              <w:widowControl w:val="0"/>
              <w:jc w:val="center"/>
              <w:rPr>
                <w:rFonts w:ascii="Arial" w:hAnsi="Arial" w:cs="Arial"/>
                <w:b/>
                <w:bCs/>
                <w:color w:val="000000"/>
                <w:sz w:val="24"/>
                <w:szCs w:val="24"/>
              </w:rPr>
            </w:pPr>
            <w:r w:rsidRPr="002F1498">
              <w:rPr>
                <w:rFonts w:ascii="Arial" w:hAnsi="Arial" w:cs="Arial"/>
                <w:b/>
                <w:bCs/>
                <w:color w:val="000000"/>
                <w:sz w:val="24"/>
                <w:szCs w:val="24"/>
              </w:rPr>
              <w:t>INCREMENTO</w:t>
            </w:r>
            <w:r w:rsidRPr="002F1498">
              <w:rPr>
                <w:rFonts w:ascii="Arial" w:hAnsi="Arial" w:cs="Arial"/>
                <w:b/>
                <w:bCs/>
                <w:color w:val="000000"/>
                <w:sz w:val="24"/>
                <w:szCs w:val="24"/>
              </w:rPr>
              <w:br/>
              <w:t>GASTO</w:t>
            </w:r>
          </w:p>
          <w:p w14:paraId="4E00B5FA" w14:textId="77777777" w:rsidR="002F1498" w:rsidRPr="002F1498" w:rsidRDefault="002F1498" w:rsidP="00B61B24">
            <w:pPr>
              <w:widowControl w:val="0"/>
              <w:jc w:val="center"/>
              <w:rPr>
                <w:rFonts w:ascii="Arial" w:hAnsi="Arial" w:cs="Arial"/>
                <w:b/>
                <w:bCs/>
                <w:color w:val="000000"/>
                <w:sz w:val="24"/>
                <w:szCs w:val="24"/>
              </w:rPr>
            </w:pPr>
            <w:r w:rsidRPr="002F1498">
              <w:rPr>
                <w:rFonts w:ascii="Arial" w:hAnsi="Arial" w:cs="Arial"/>
                <w:b/>
                <w:bCs/>
                <w:color w:val="000000"/>
                <w:sz w:val="24"/>
                <w:szCs w:val="24"/>
              </w:rPr>
              <w:t>PRESTACIÓN</w:t>
            </w:r>
          </w:p>
        </w:tc>
        <w:tc>
          <w:tcPr>
            <w:tcW w:w="2486" w:type="dxa"/>
            <w:tcBorders>
              <w:top w:val="single" w:sz="8" w:space="0" w:color="auto"/>
              <w:left w:val="nil"/>
              <w:bottom w:val="nil"/>
              <w:right w:val="single" w:sz="8" w:space="0" w:color="auto"/>
            </w:tcBorders>
            <w:shd w:val="clear" w:color="000000" w:fill="FFFFFF"/>
            <w:vAlign w:val="center"/>
            <w:hideMark/>
          </w:tcPr>
          <w:p w14:paraId="0C5208AC" w14:textId="77777777" w:rsidR="002F1498" w:rsidRPr="002F1498" w:rsidRDefault="002F1498" w:rsidP="00B61B24">
            <w:pPr>
              <w:widowControl w:val="0"/>
              <w:jc w:val="center"/>
              <w:rPr>
                <w:rFonts w:ascii="Arial" w:hAnsi="Arial" w:cs="Arial"/>
                <w:b/>
                <w:bCs/>
                <w:color w:val="000000"/>
                <w:sz w:val="24"/>
                <w:szCs w:val="24"/>
              </w:rPr>
            </w:pPr>
            <w:r w:rsidRPr="002F1498">
              <w:rPr>
                <w:rFonts w:ascii="Arial" w:hAnsi="Arial" w:cs="Arial"/>
                <w:b/>
                <w:bCs/>
                <w:color w:val="000000"/>
                <w:sz w:val="24"/>
                <w:szCs w:val="24"/>
              </w:rPr>
              <w:t>INCREMENTO</w:t>
            </w:r>
            <w:r w:rsidRPr="002F1498">
              <w:rPr>
                <w:rFonts w:ascii="Arial" w:hAnsi="Arial" w:cs="Arial"/>
                <w:b/>
                <w:bCs/>
                <w:color w:val="000000"/>
                <w:sz w:val="24"/>
                <w:szCs w:val="24"/>
              </w:rPr>
              <w:br/>
              <w:t>GASTO</w:t>
            </w:r>
          </w:p>
          <w:p w14:paraId="42236196" w14:textId="77777777" w:rsidR="002F1498" w:rsidRPr="002F1498" w:rsidRDefault="002F1498" w:rsidP="00B61B24">
            <w:pPr>
              <w:widowControl w:val="0"/>
              <w:jc w:val="center"/>
              <w:rPr>
                <w:rFonts w:ascii="Arial" w:hAnsi="Arial" w:cs="Arial"/>
                <w:b/>
                <w:bCs/>
                <w:color w:val="000000"/>
                <w:sz w:val="24"/>
                <w:szCs w:val="24"/>
              </w:rPr>
            </w:pPr>
            <w:r w:rsidRPr="002F1498">
              <w:rPr>
                <w:rFonts w:ascii="Arial" w:hAnsi="Arial" w:cs="Arial"/>
                <w:b/>
                <w:bCs/>
                <w:color w:val="000000"/>
                <w:sz w:val="24"/>
                <w:szCs w:val="24"/>
              </w:rPr>
              <w:t>CUOTAS</w:t>
            </w:r>
          </w:p>
        </w:tc>
        <w:tc>
          <w:tcPr>
            <w:tcW w:w="2486" w:type="dxa"/>
            <w:tcBorders>
              <w:top w:val="single" w:sz="8" w:space="0" w:color="auto"/>
              <w:left w:val="nil"/>
              <w:bottom w:val="nil"/>
              <w:right w:val="single" w:sz="8" w:space="0" w:color="auto"/>
            </w:tcBorders>
            <w:shd w:val="clear" w:color="000000" w:fill="FFFFFF"/>
            <w:vAlign w:val="center"/>
            <w:hideMark/>
          </w:tcPr>
          <w:p w14:paraId="62638CAF" w14:textId="77777777" w:rsidR="002F1498" w:rsidRPr="002F1498" w:rsidRDefault="002F1498" w:rsidP="00B61B24">
            <w:pPr>
              <w:widowControl w:val="0"/>
              <w:jc w:val="center"/>
              <w:rPr>
                <w:rFonts w:ascii="Arial" w:hAnsi="Arial" w:cs="Arial"/>
                <w:b/>
                <w:bCs/>
                <w:color w:val="000000"/>
                <w:sz w:val="24"/>
                <w:szCs w:val="24"/>
              </w:rPr>
            </w:pPr>
            <w:r w:rsidRPr="002F1498">
              <w:rPr>
                <w:rFonts w:ascii="Arial" w:hAnsi="Arial" w:cs="Arial"/>
                <w:b/>
                <w:bCs/>
                <w:color w:val="000000"/>
                <w:sz w:val="24"/>
                <w:szCs w:val="24"/>
              </w:rPr>
              <w:t>TOTAL</w:t>
            </w:r>
          </w:p>
          <w:p w14:paraId="20190392" w14:textId="77777777" w:rsidR="002F1498" w:rsidRPr="002F1498" w:rsidRDefault="002F1498" w:rsidP="00B61B24">
            <w:pPr>
              <w:widowControl w:val="0"/>
              <w:jc w:val="center"/>
              <w:rPr>
                <w:rFonts w:ascii="Arial" w:hAnsi="Arial" w:cs="Arial"/>
                <w:b/>
                <w:bCs/>
                <w:color w:val="000000"/>
                <w:sz w:val="24"/>
                <w:szCs w:val="24"/>
              </w:rPr>
            </w:pPr>
            <w:r w:rsidRPr="002F1498">
              <w:rPr>
                <w:rFonts w:ascii="Arial" w:hAnsi="Arial" w:cs="Arial"/>
                <w:b/>
                <w:bCs/>
                <w:color w:val="000000"/>
                <w:sz w:val="24"/>
                <w:szCs w:val="24"/>
              </w:rPr>
              <w:t>INCREMENTO DE GASTOS</w:t>
            </w:r>
          </w:p>
        </w:tc>
      </w:tr>
      <w:tr w:rsidR="002F1498" w:rsidRPr="00546B51" w14:paraId="4641138D" w14:textId="77777777" w:rsidTr="002F1498">
        <w:trPr>
          <w:trHeight w:val="327"/>
        </w:trPr>
        <w:tc>
          <w:tcPr>
            <w:tcW w:w="2684" w:type="dxa"/>
            <w:vMerge/>
            <w:tcBorders>
              <w:top w:val="single" w:sz="8" w:space="0" w:color="auto"/>
              <w:left w:val="single" w:sz="8" w:space="0" w:color="auto"/>
              <w:bottom w:val="double" w:sz="6" w:space="0" w:color="000000"/>
              <w:right w:val="single" w:sz="8" w:space="0" w:color="auto"/>
            </w:tcBorders>
            <w:vAlign w:val="center"/>
            <w:hideMark/>
          </w:tcPr>
          <w:p w14:paraId="043D0DB1" w14:textId="77777777" w:rsidR="002F1498" w:rsidRPr="002F1498" w:rsidRDefault="002F1498" w:rsidP="00B61B24">
            <w:pPr>
              <w:widowControl w:val="0"/>
              <w:rPr>
                <w:rFonts w:ascii="Arial" w:hAnsi="Arial" w:cs="Arial"/>
                <w:b/>
                <w:bCs/>
                <w:color w:val="000000"/>
                <w:sz w:val="24"/>
                <w:szCs w:val="24"/>
              </w:rPr>
            </w:pPr>
          </w:p>
        </w:tc>
        <w:tc>
          <w:tcPr>
            <w:tcW w:w="2288" w:type="dxa"/>
            <w:tcBorders>
              <w:top w:val="nil"/>
              <w:left w:val="nil"/>
              <w:bottom w:val="double" w:sz="6" w:space="0" w:color="auto"/>
              <w:right w:val="single" w:sz="8" w:space="0" w:color="auto"/>
            </w:tcBorders>
            <w:shd w:val="clear" w:color="000000" w:fill="FFFFFF"/>
            <w:vAlign w:val="center"/>
            <w:hideMark/>
          </w:tcPr>
          <w:p w14:paraId="3542FF5E" w14:textId="77777777" w:rsidR="002F1498" w:rsidRPr="002F1498" w:rsidRDefault="002F1498" w:rsidP="00B61B24">
            <w:pPr>
              <w:widowControl w:val="0"/>
              <w:jc w:val="center"/>
              <w:rPr>
                <w:rFonts w:ascii="Arial" w:hAnsi="Arial" w:cs="Arial"/>
                <w:color w:val="000000"/>
                <w:sz w:val="24"/>
                <w:szCs w:val="24"/>
              </w:rPr>
            </w:pPr>
            <w:r w:rsidRPr="002F1498">
              <w:rPr>
                <w:rFonts w:ascii="Arial" w:hAnsi="Arial" w:cs="Arial"/>
                <w:color w:val="000000"/>
                <w:sz w:val="24"/>
                <w:szCs w:val="24"/>
              </w:rPr>
              <w:t>(Millones de Euros)</w:t>
            </w:r>
          </w:p>
        </w:tc>
        <w:tc>
          <w:tcPr>
            <w:tcW w:w="2486" w:type="dxa"/>
            <w:tcBorders>
              <w:top w:val="nil"/>
              <w:left w:val="nil"/>
              <w:bottom w:val="double" w:sz="6" w:space="0" w:color="auto"/>
              <w:right w:val="single" w:sz="8" w:space="0" w:color="auto"/>
            </w:tcBorders>
            <w:shd w:val="clear" w:color="000000" w:fill="FFFFFF"/>
            <w:vAlign w:val="center"/>
            <w:hideMark/>
          </w:tcPr>
          <w:p w14:paraId="664B783C" w14:textId="77777777" w:rsidR="002F1498" w:rsidRPr="002F1498" w:rsidRDefault="002F1498" w:rsidP="00B61B24">
            <w:pPr>
              <w:widowControl w:val="0"/>
              <w:jc w:val="center"/>
              <w:rPr>
                <w:rFonts w:ascii="Arial" w:hAnsi="Arial" w:cs="Arial"/>
                <w:color w:val="000000"/>
                <w:sz w:val="24"/>
                <w:szCs w:val="24"/>
              </w:rPr>
            </w:pPr>
            <w:r w:rsidRPr="002F1498">
              <w:rPr>
                <w:rFonts w:ascii="Arial" w:hAnsi="Arial" w:cs="Arial"/>
                <w:color w:val="000000"/>
                <w:sz w:val="24"/>
                <w:szCs w:val="24"/>
              </w:rPr>
              <w:t>(Millones de euros)</w:t>
            </w:r>
          </w:p>
        </w:tc>
        <w:tc>
          <w:tcPr>
            <w:tcW w:w="2486" w:type="dxa"/>
            <w:tcBorders>
              <w:top w:val="nil"/>
              <w:left w:val="nil"/>
              <w:bottom w:val="double" w:sz="6" w:space="0" w:color="auto"/>
              <w:right w:val="single" w:sz="8" w:space="0" w:color="auto"/>
            </w:tcBorders>
            <w:shd w:val="clear" w:color="000000" w:fill="FFFFFF"/>
            <w:vAlign w:val="center"/>
            <w:hideMark/>
          </w:tcPr>
          <w:p w14:paraId="785093C0" w14:textId="77777777" w:rsidR="002F1498" w:rsidRPr="002F1498" w:rsidRDefault="002F1498" w:rsidP="00B61B24">
            <w:pPr>
              <w:widowControl w:val="0"/>
              <w:jc w:val="center"/>
              <w:rPr>
                <w:rFonts w:ascii="Arial" w:hAnsi="Arial" w:cs="Arial"/>
                <w:color w:val="000000"/>
                <w:sz w:val="24"/>
                <w:szCs w:val="24"/>
              </w:rPr>
            </w:pPr>
            <w:r w:rsidRPr="002F1498">
              <w:rPr>
                <w:rFonts w:ascii="Arial" w:hAnsi="Arial" w:cs="Arial"/>
                <w:color w:val="000000"/>
                <w:sz w:val="24"/>
                <w:szCs w:val="24"/>
              </w:rPr>
              <w:t>(Millones de euros)</w:t>
            </w:r>
          </w:p>
        </w:tc>
      </w:tr>
      <w:tr w:rsidR="002F1498" w:rsidRPr="00546B51" w14:paraId="6723299C" w14:textId="77777777" w:rsidTr="002F1498">
        <w:trPr>
          <w:trHeight w:val="327"/>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4997EA27" w14:textId="77777777" w:rsidR="002F1498" w:rsidRPr="002F1498" w:rsidRDefault="002F1498" w:rsidP="00B61B24">
            <w:pPr>
              <w:widowControl w:val="0"/>
              <w:rPr>
                <w:rFonts w:ascii="Arial" w:hAnsi="Arial" w:cs="Arial"/>
                <w:color w:val="000000"/>
                <w:sz w:val="24"/>
                <w:szCs w:val="24"/>
              </w:rPr>
            </w:pPr>
            <w:r w:rsidRPr="002F1498">
              <w:rPr>
                <w:rFonts w:ascii="Arial" w:hAnsi="Arial" w:cs="Arial"/>
                <w:color w:val="000000"/>
                <w:sz w:val="24"/>
                <w:szCs w:val="24"/>
              </w:rPr>
              <w:t>Contributiva</w:t>
            </w:r>
          </w:p>
        </w:tc>
        <w:tc>
          <w:tcPr>
            <w:tcW w:w="2288" w:type="dxa"/>
            <w:tcBorders>
              <w:top w:val="nil"/>
              <w:left w:val="nil"/>
              <w:bottom w:val="single" w:sz="8" w:space="0" w:color="auto"/>
              <w:right w:val="single" w:sz="8" w:space="0" w:color="auto"/>
            </w:tcBorders>
            <w:shd w:val="clear" w:color="auto" w:fill="auto"/>
            <w:vAlign w:val="center"/>
            <w:hideMark/>
          </w:tcPr>
          <w:p w14:paraId="63FEC384" w14:textId="77777777" w:rsidR="002F1498" w:rsidRPr="002F1498" w:rsidRDefault="002F1498" w:rsidP="00B61B24">
            <w:pPr>
              <w:widowControl w:val="0"/>
              <w:jc w:val="right"/>
              <w:rPr>
                <w:rFonts w:ascii="Arial" w:hAnsi="Arial" w:cs="Arial"/>
                <w:color w:val="000000"/>
                <w:sz w:val="24"/>
                <w:szCs w:val="24"/>
              </w:rPr>
            </w:pPr>
            <w:r w:rsidRPr="002F1498">
              <w:rPr>
                <w:rFonts w:ascii="Arial" w:hAnsi="Arial" w:cs="Arial"/>
                <w:color w:val="000000"/>
                <w:sz w:val="24"/>
                <w:szCs w:val="24"/>
              </w:rPr>
              <w:t> </w:t>
            </w:r>
          </w:p>
        </w:tc>
        <w:tc>
          <w:tcPr>
            <w:tcW w:w="2486" w:type="dxa"/>
            <w:tcBorders>
              <w:top w:val="nil"/>
              <w:left w:val="nil"/>
              <w:bottom w:val="single" w:sz="8" w:space="0" w:color="auto"/>
              <w:right w:val="single" w:sz="8" w:space="0" w:color="auto"/>
            </w:tcBorders>
            <w:shd w:val="clear" w:color="000000" w:fill="FFFFFF"/>
            <w:vAlign w:val="center"/>
            <w:hideMark/>
          </w:tcPr>
          <w:p w14:paraId="3F9F87A1" w14:textId="77777777" w:rsidR="002F1498" w:rsidRPr="002F1498" w:rsidRDefault="002F1498" w:rsidP="00B61B24">
            <w:pPr>
              <w:widowControl w:val="0"/>
              <w:jc w:val="right"/>
              <w:rPr>
                <w:rFonts w:ascii="Arial" w:hAnsi="Arial" w:cs="Arial"/>
                <w:color w:val="000000"/>
                <w:sz w:val="24"/>
                <w:szCs w:val="24"/>
              </w:rPr>
            </w:pPr>
            <w:r w:rsidRPr="002F1498">
              <w:rPr>
                <w:rFonts w:ascii="Arial" w:hAnsi="Arial" w:cs="Arial"/>
                <w:color w:val="000000"/>
                <w:sz w:val="24"/>
                <w:szCs w:val="24"/>
              </w:rPr>
              <w:t>2,95</w:t>
            </w:r>
          </w:p>
        </w:tc>
        <w:tc>
          <w:tcPr>
            <w:tcW w:w="2486" w:type="dxa"/>
            <w:tcBorders>
              <w:top w:val="nil"/>
              <w:left w:val="nil"/>
              <w:bottom w:val="single" w:sz="8" w:space="0" w:color="auto"/>
              <w:right w:val="single" w:sz="8" w:space="0" w:color="auto"/>
            </w:tcBorders>
            <w:shd w:val="clear" w:color="auto" w:fill="auto"/>
            <w:vAlign w:val="center"/>
            <w:hideMark/>
          </w:tcPr>
          <w:p w14:paraId="6622FBCF" w14:textId="77777777" w:rsidR="002F1498" w:rsidRPr="002F1498" w:rsidRDefault="002F1498" w:rsidP="00B61B24">
            <w:pPr>
              <w:widowControl w:val="0"/>
              <w:jc w:val="right"/>
              <w:rPr>
                <w:rFonts w:ascii="Arial" w:hAnsi="Arial" w:cs="Arial"/>
                <w:color w:val="000000"/>
                <w:sz w:val="24"/>
                <w:szCs w:val="24"/>
              </w:rPr>
            </w:pPr>
            <w:r w:rsidRPr="002F1498">
              <w:rPr>
                <w:rFonts w:ascii="Arial" w:hAnsi="Arial" w:cs="Arial"/>
                <w:color w:val="000000"/>
                <w:sz w:val="24"/>
                <w:szCs w:val="24"/>
              </w:rPr>
              <w:t>2,95</w:t>
            </w:r>
          </w:p>
        </w:tc>
      </w:tr>
      <w:tr w:rsidR="002F1498" w:rsidRPr="00546B51" w14:paraId="3EEB79D5" w14:textId="77777777" w:rsidTr="002F1498">
        <w:trPr>
          <w:trHeight w:val="327"/>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4B0037B6" w14:textId="77777777" w:rsidR="002F1498" w:rsidRPr="002F1498" w:rsidRDefault="002F1498" w:rsidP="00B61B24">
            <w:pPr>
              <w:widowControl w:val="0"/>
              <w:rPr>
                <w:rFonts w:ascii="Arial" w:hAnsi="Arial" w:cs="Arial"/>
                <w:color w:val="000000"/>
                <w:sz w:val="24"/>
                <w:szCs w:val="24"/>
              </w:rPr>
            </w:pPr>
            <w:r w:rsidRPr="002F1498">
              <w:rPr>
                <w:rFonts w:ascii="Arial" w:hAnsi="Arial" w:cs="Arial"/>
                <w:color w:val="000000"/>
                <w:sz w:val="24"/>
                <w:szCs w:val="24"/>
              </w:rPr>
              <w:t>Subsidio</w:t>
            </w:r>
          </w:p>
        </w:tc>
        <w:tc>
          <w:tcPr>
            <w:tcW w:w="2288" w:type="dxa"/>
            <w:tcBorders>
              <w:top w:val="nil"/>
              <w:left w:val="nil"/>
              <w:bottom w:val="single" w:sz="8" w:space="0" w:color="auto"/>
              <w:right w:val="single" w:sz="8" w:space="0" w:color="auto"/>
            </w:tcBorders>
            <w:shd w:val="clear" w:color="auto" w:fill="auto"/>
            <w:vAlign w:val="center"/>
            <w:hideMark/>
          </w:tcPr>
          <w:p w14:paraId="62662C7D" w14:textId="77777777" w:rsidR="002F1498" w:rsidRPr="002F1498" w:rsidRDefault="002F1498" w:rsidP="00B61B24">
            <w:pPr>
              <w:widowControl w:val="0"/>
              <w:jc w:val="right"/>
              <w:rPr>
                <w:rFonts w:ascii="Arial" w:hAnsi="Arial" w:cs="Arial"/>
                <w:color w:val="000000"/>
                <w:sz w:val="24"/>
                <w:szCs w:val="24"/>
              </w:rPr>
            </w:pPr>
            <w:r w:rsidRPr="002F1498">
              <w:rPr>
                <w:rFonts w:ascii="Arial" w:hAnsi="Arial" w:cs="Arial"/>
                <w:color w:val="000000"/>
                <w:sz w:val="24"/>
                <w:szCs w:val="24"/>
              </w:rPr>
              <w:t>3,14</w:t>
            </w:r>
          </w:p>
        </w:tc>
        <w:tc>
          <w:tcPr>
            <w:tcW w:w="2486" w:type="dxa"/>
            <w:tcBorders>
              <w:top w:val="nil"/>
              <w:left w:val="nil"/>
              <w:bottom w:val="single" w:sz="8" w:space="0" w:color="auto"/>
              <w:right w:val="single" w:sz="8" w:space="0" w:color="auto"/>
            </w:tcBorders>
            <w:shd w:val="clear" w:color="000000" w:fill="FFFFFF"/>
            <w:vAlign w:val="center"/>
            <w:hideMark/>
          </w:tcPr>
          <w:p w14:paraId="04C59C6B" w14:textId="77777777" w:rsidR="002F1498" w:rsidRPr="002F1498" w:rsidRDefault="002F1498" w:rsidP="00B61B24">
            <w:pPr>
              <w:widowControl w:val="0"/>
              <w:jc w:val="right"/>
              <w:rPr>
                <w:rFonts w:ascii="Arial" w:hAnsi="Arial" w:cs="Arial"/>
                <w:color w:val="000000"/>
                <w:sz w:val="24"/>
                <w:szCs w:val="24"/>
              </w:rPr>
            </w:pPr>
            <w:r w:rsidRPr="002F1498">
              <w:rPr>
                <w:rFonts w:ascii="Arial" w:hAnsi="Arial" w:cs="Arial"/>
                <w:color w:val="000000"/>
                <w:sz w:val="24"/>
                <w:szCs w:val="24"/>
              </w:rPr>
              <w:t>18,54</w:t>
            </w:r>
          </w:p>
        </w:tc>
        <w:tc>
          <w:tcPr>
            <w:tcW w:w="2486" w:type="dxa"/>
            <w:tcBorders>
              <w:top w:val="nil"/>
              <w:left w:val="nil"/>
              <w:bottom w:val="single" w:sz="8" w:space="0" w:color="auto"/>
              <w:right w:val="single" w:sz="8" w:space="0" w:color="auto"/>
            </w:tcBorders>
            <w:shd w:val="clear" w:color="auto" w:fill="auto"/>
            <w:vAlign w:val="center"/>
            <w:hideMark/>
          </w:tcPr>
          <w:p w14:paraId="2C0E62A7" w14:textId="77777777" w:rsidR="002F1498" w:rsidRPr="002F1498" w:rsidRDefault="002F1498" w:rsidP="00B61B24">
            <w:pPr>
              <w:widowControl w:val="0"/>
              <w:jc w:val="right"/>
              <w:rPr>
                <w:rFonts w:ascii="Arial" w:hAnsi="Arial" w:cs="Arial"/>
                <w:color w:val="000000"/>
                <w:sz w:val="24"/>
                <w:szCs w:val="24"/>
              </w:rPr>
            </w:pPr>
            <w:r w:rsidRPr="002F1498">
              <w:rPr>
                <w:rFonts w:ascii="Arial" w:hAnsi="Arial" w:cs="Arial"/>
                <w:color w:val="000000"/>
                <w:sz w:val="24"/>
                <w:szCs w:val="24"/>
              </w:rPr>
              <w:t>21,69</w:t>
            </w:r>
          </w:p>
        </w:tc>
      </w:tr>
      <w:tr w:rsidR="002F1498" w:rsidRPr="00546B51" w14:paraId="46177D59" w14:textId="77777777" w:rsidTr="002F1498">
        <w:trPr>
          <w:trHeight w:val="327"/>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6AADC00F" w14:textId="77777777" w:rsidR="002F1498" w:rsidRPr="002F1498" w:rsidRDefault="002F1498" w:rsidP="00B61B24">
            <w:pPr>
              <w:widowControl w:val="0"/>
              <w:rPr>
                <w:rFonts w:ascii="Arial" w:hAnsi="Arial" w:cs="Arial"/>
                <w:color w:val="000000"/>
                <w:sz w:val="24"/>
                <w:szCs w:val="24"/>
              </w:rPr>
            </w:pPr>
            <w:r w:rsidRPr="002F1498">
              <w:rPr>
                <w:rFonts w:ascii="Arial" w:hAnsi="Arial" w:cs="Arial"/>
                <w:color w:val="000000"/>
                <w:sz w:val="24"/>
                <w:szCs w:val="24"/>
              </w:rPr>
              <w:t>Renta Activa de Inserción</w:t>
            </w:r>
          </w:p>
        </w:tc>
        <w:tc>
          <w:tcPr>
            <w:tcW w:w="2288" w:type="dxa"/>
            <w:tcBorders>
              <w:top w:val="nil"/>
              <w:left w:val="nil"/>
              <w:bottom w:val="single" w:sz="8" w:space="0" w:color="auto"/>
              <w:right w:val="single" w:sz="8" w:space="0" w:color="auto"/>
            </w:tcBorders>
            <w:shd w:val="clear" w:color="auto" w:fill="auto"/>
            <w:vAlign w:val="center"/>
            <w:hideMark/>
          </w:tcPr>
          <w:p w14:paraId="26ADFDEE" w14:textId="77777777" w:rsidR="002F1498" w:rsidRPr="002F1498" w:rsidRDefault="002F1498" w:rsidP="00B61B24">
            <w:pPr>
              <w:widowControl w:val="0"/>
              <w:jc w:val="right"/>
              <w:rPr>
                <w:rFonts w:ascii="Arial" w:hAnsi="Arial" w:cs="Arial"/>
                <w:color w:val="000000"/>
                <w:sz w:val="24"/>
                <w:szCs w:val="24"/>
              </w:rPr>
            </w:pPr>
            <w:r w:rsidRPr="002F1498">
              <w:rPr>
                <w:rFonts w:ascii="Arial" w:hAnsi="Arial" w:cs="Arial"/>
                <w:color w:val="000000"/>
                <w:sz w:val="24"/>
                <w:szCs w:val="24"/>
              </w:rPr>
              <w:t>0,72</w:t>
            </w:r>
          </w:p>
        </w:tc>
        <w:tc>
          <w:tcPr>
            <w:tcW w:w="2486" w:type="dxa"/>
            <w:tcBorders>
              <w:top w:val="nil"/>
              <w:left w:val="nil"/>
              <w:bottom w:val="single" w:sz="8" w:space="0" w:color="auto"/>
              <w:right w:val="single" w:sz="8" w:space="0" w:color="auto"/>
            </w:tcBorders>
            <w:shd w:val="clear" w:color="auto" w:fill="auto"/>
            <w:vAlign w:val="center"/>
            <w:hideMark/>
          </w:tcPr>
          <w:p w14:paraId="7BF35E50" w14:textId="77777777" w:rsidR="002F1498" w:rsidRPr="002F1498" w:rsidRDefault="002F1498" w:rsidP="00B61B24">
            <w:pPr>
              <w:widowControl w:val="0"/>
              <w:jc w:val="right"/>
              <w:rPr>
                <w:rFonts w:ascii="Arial" w:hAnsi="Arial" w:cs="Arial"/>
                <w:color w:val="000000"/>
                <w:sz w:val="24"/>
                <w:szCs w:val="24"/>
              </w:rPr>
            </w:pPr>
            <w:r w:rsidRPr="002F1498">
              <w:rPr>
                <w:rFonts w:ascii="Arial" w:hAnsi="Arial" w:cs="Arial"/>
                <w:color w:val="000000"/>
                <w:sz w:val="24"/>
                <w:szCs w:val="24"/>
              </w:rPr>
              <w:t> </w:t>
            </w:r>
          </w:p>
        </w:tc>
        <w:tc>
          <w:tcPr>
            <w:tcW w:w="2486" w:type="dxa"/>
            <w:tcBorders>
              <w:top w:val="nil"/>
              <w:left w:val="nil"/>
              <w:bottom w:val="single" w:sz="8" w:space="0" w:color="auto"/>
              <w:right w:val="single" w:sz="8" w:space="0" w:color="auto"/>
            </w:tcBorders>
            <w:shd w:val="clear" w:color="auto" w:fill="auto"/>
            <w:vAlign w:val="center"/>
            <w:hideMark/>
          </w:tcPr>
          <w:p w14:paraId="42760E83" w14:textId="77777777" w:rsidR="002F1498" w:rsidRPr="002F1498" w:rsidRDefault="002F1498" w:rsidP="00B61B24">
            <w:pPr>
              <w:widowControl w:val="0"/>
              <w:jc w:val="right"/>
              <w:rPr>
                <w:rFonts w:ascii="Arial" w:hAnsi="Arial" w:cs="Arial"/>
                <w:color w:val="000000"/>
                <w:sz w:val="24"/>
                <w:szCs w:val="24"/>
              </w:rPr>
            </w:pPr>
            <w:r w:rsidRPr="002F1498">
              <w:rPr>
                <w:rFonts w:ascii="Arial" w:hAnsi="Arial" w:cs="Arial"/>
                <w:color w:val="000000"/>
                <w:sz w:val="24"/>
                <w:szCs w:val="24"/>
              </w:rPr>
              <w:t>0,72</w:t>
            </w:r>
          </w:p>
        </w:tc>
      </w:tr>
      <w:tr w:rsidR="002F1498" w:rsidRPr="00546B51" w14:paraId="0BB054EB" w14:textId="77777777" w:rsidTr="002F1498">
        <w:trPr>
          <w:trHeight w:val="327"/>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0E309D4C" w14:textId="77777777" w:rsidR="002F1498" w:rsidRPr="002F1498" w:rsidRDefault="002F1498" w:rsidP="00B61B24">
            <w:pPr>
              <w:widowControl w:val="0"/>
              <w:rPr>
                <w:rFonts w:ascii="Arial" w:hAnsi="Arial" w:cs="Arial"/>
                <w:color w:val="000000"/>
                <w:sz w:val="24"/>
                <w:szCs w:val="24"/>
              </w:rPr>
            </w:pPr>
            <w:r w:rsidRPr="002F1498">
              <w:rPr>
                <w:rFonts w:ascii="Arial" w:hAnsi="Arial" w:cs="Arial"/>
                <w:color w:val="000000"/>
                <w:sz w:val="24"/>
                <w:szCs w:val="24"/>
              </w:rPr>
              <w:t>Subsidio Agrario</w:t>
            </w:r>
          </w:p>
        </w:tc>
        <w:tc>
          <w:tcPr>
            <w:tcW w:w="2288" w:type="dxa"/>
            <w:tcBorders>
              <w:top w:val="nil"/>
              <w:left w:val="nil"/>
              <w:bottom w:val="single" w:sz="8" w:space="0" w:color="auto"/>
              <w:right w:val="single" w:sz="8" w:space="0" w:color="auto"/>
            </w:tcBorders>
            <w:shd w:val="clear" w:color="auto" w:fill="auto"/>
            <w:vAlign w:val="center"/>
            <w:hideMark/>
          </w:tcPr>
          <w:p w14:paraId="7A0F178A" w14:textId="77777777" w:rsidR="002F1498" w:rsidRPr="002F1498" w:rsidRDefault="002F1498" w:rsidP="00B61B24">
            <w:pPr>
              <w:widowControl w:val="0"/>
              <w:jc w:val="right"/>
              <w:rPr>
                <w:rFonts w:ascii="Arial" w:hAnsi="Arial" w:cs="Arial"/>
                <w:color w:val="000000"/>
                <w:sz w:val="24"/>
                <w:szCs w:val="24"/>
              </w:rPr>
            </w:pPr>
            <w:r w:rsidRPr="002F1498">
              <w:rPr>
                <w:rFonts w:ascii="Arial" w:hAnsi="Arial" w:cs="Arial"/>
                <w:color w:val="000000"/>
                <w:sz w:val="24"/>
                <w:szCs w:val="24"/>
              </w:rPr>
              <w:t>0,40</w:t>
            </w:r>
          </w:p>
        </w:tc>
        <w:tc>
          <w:tcPr>
            <w:tcW w:w="2486" w:type="dxa"/>
            <w:tcBorders>
              <w:top w:val="nil"/>
              <w:left w:val="nil"/>
              <w:bottom w:val="single" w:sz="8" w:space="0" w:color="auto"/>
              <w:right w:val="single" w:sz="8" w:space="0" w:color="auto"/>
            </w:tcBorders>
            <w:shd w:val="clear" w:color="auto" w:fill="auto"/>
            <w:vAlign w:val="center"/>
            <w:hideMark/>
          </w:tcPr>
          <w:p w14:paraId="30070C69" w14:textId="77777777" w:rsidR="002F1498" w:rsidRPr="002F1498" w:rsidRDefault="002F1498" w:rsidP="00B61B24">
            <w:pPr>
              <w:widowControl w:val="0"/>
              <w:jc w:val="right"/>
              <w:rPr>
                <w:rFonts w:ascii="Arial" w:hAnsi="Arial" w:cs="Arial"/>
                <w:color w:val="000000"/>
                <w:sz w:val="24"/>
                <w:szCs w:val="24"/>
              </w:rPr>
            </w:pPr>
            <w:r w:rsidRPr="002F1498">
              <w:rPr>
                <w:rFonts w:ascii="Arial" w:hAnsi="Arial" w:cs="Arial"/>
                <w:color w:val="000000"/>
                <w:sz w:val="24"/>
                <w:szCs w:val="24"/>
              </w:rPr>
              <w:t>1,28</w:t>
            </w:r>
          </w:p>
        </w:tc>
        <w:tc>
          <w:tcPr>
            <w:tcW w:w="2486" w:type="dxa"/>
            <w:tcBorders>
              <w:top w:val="nil"/>
              <w:left w:val="nil"/>
              <w:bottom w:val="single" w:sz="8" w:space="0" w:color="auto"/>
              <w:right w:val="single" w:sz="8" w:space="0" w:color="auto"/>
            </w:tcBorders>
            <w:shd w:val="clear" w:color="auto" w:fill="auto"/>
            <w:vAlign w:val="center"/>
            <w:hideMark/>
          </w:tcPr>
          <w:p w14:paraId="1973D49D" w14:textId="77777777" w:rsidR="002F1498" w:rsidRPr="002F1498" w:rsidRDefault="002F1498" w:rsidP="00B61B24">
            <w:pPr>
              <w:widowControl w:val="0"/>
              <w:jc w:val="right"/>
              <w:rPr>
                <w:rFonts w:ascii="Arial" w:hAnsi="Arial" w:cs="Arial"/>
                <w:color w:val="000000"/>
                <w:sz w:val="24"/>
                <w:szCs w:val="24"/>
              </w:rPr>
            </w:pPr>
            <w:r w:rsidRPr="002F1498">
              <w:rPr>
                <w:rFonts w:ascii="Arial" w:hAnsi="Arial" w:cs="Arial"/>
                <w:color w:val="000000"/>
                <w:sz w:val="24"/>
                <w:szCs w:val="24"/>
              </w:rPr>
              <w:t>1,68</w:t>
            </w:r>
          </w:p>
        </w:tc>
      </w:tr>
      <w:tr w:rsidR="002F1498" w:rsidRPr="00546B51" w14:paraId="6CE82D4E" w14:textId="77777777" w:rsidTr="002F1498">
        <w:trPr>
          <w:trHeight w:val="327"/>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06B67299" w14:textId="77777777" w:rsidR="002F1498" w:rsidRPr="002F1498" w:rsidRDefault="002F1498" w:rsidP="00B61B24">
            <w:pPr>
              <w:widowControl w:val="0"/>
              <w:rPr>
                <w:rFonts w:ascii="Arial" w:hAnsi="Arial" w:cs="Arial"/>
                <w:color w:val="000000"/>
                <w:sz w:val="24"/>
                <w:szCs w:val="24"/>
              </w:rPr>
            </w:pPr>
            <w:r w:rsidRPr="002F1498">
              <w:rPr>
                <w:rFonts w:ascii="Arial" w:hAnsi="Arial" w:cs="Arial"/>
                <w:color w:val="000000"/>
                <w:sz w:val="24"/>
                <w:szCs w:val="24"/>
              </w:rPr>
              <w:t>Renta Agraria</w:t>
            </w:r>
          </w:p>
        </w:tc>
        <w:tc>
          <w:tcPr>
            <w:tcW w:w="2288" w:type="dxa"/>
            <w:tcBorders>
              <w:top w:val="nil"/>
              <w:left w:val="nil"/>
              <w:bottom w:val="single" w:sz="8" w:space="0" w:color="auto"/>
              <w:right w:val="single" w:sz="8" w:space="0" w:color="auto"/>
            </w:tcBorders>
            <w:shd w:val="clear" w:color="auto" w:fill="auto"/>
            <w:vAlign w:val="center"/>
            <w:hideMark/>
          </w:tcPr>
          <w:p w14:paraId="2057060A" w14:textId="77777777" w:rsidR="002F1498" w:rsidRPr="002F1498" w:rsidRDefault="002F1498" w:rsidP="00B61B24">
            <w:pPr>
              <w:widowControl w:val="0"/>
              <w:jc w:val="right"/>
              <w:rPr>
                <w:rFonts w:ascii="Arial" w:hAnsi="Arial" w:cs="Arial"/>
                <w:color w:val="000000"/>
                <w:sz w:val="24"/>
                <w:szCs w:val="24"/>
              </w:rPr>
            </w:pPr>
            <w:r w:rsidRPr="002F1498">
              <w:rPr>
                <w:rFonts w:ascii="Arial" w:hAnsi="Arial" w:cs="Arial"/>
                <w:color w:val="000000"/>
                <w:sz w:val="24"/>
                <w:szCs w:val="24"/>
              </w:rPr>
              <w:t>0,35</w:t>
            </w:r>
          </w:p>
        </w:tc>
        <w:tc>
          <w:tcPr>
            <w:tcW w:w="2486" w:type="dxa"/>
            <w:tcBorders>
              <w:top w:val="nil"/>
              <w:left w:val="nil"/>
              <w:bottom w:val="single" w:sz="8" w:space="0" w:color="auto"/>
              <w:right w:val="single" w:sz="8" w:space="0" w:color="auto"/>
            </w:tcBorders>
            <w:shd w:val="clear" w:color="auto" w:fill="auto"/>
            <w:vAlign w:val="center"/>
            <w:hideMark/>
          </w:tcPr>
          <w:p w14:paraId="458F78C9" w14:textId="77777777" w:rsidR="002F1498" w:rsidRPr="002F1498" w:rsidRDefault="002F1498" w:rsidP="00B61B24">
            <w:pPr>
              <w:widowControl w:val="0"/>
              <w:jc w:val="right"/>
              <w:rPr>
                <w:rFonts w:ascii="Arial" w:hAnsi="Arial" w:cs="Arial"/>
                <w:color w:val="000000"/>
                <w:sz w:val="24"/>
                <w:szCs w:val="24"/>
              </w:rPr>
            </w:pPr>
            <w:r w:rsidRPr="002F1498">
              <w:rPr>
                <w:rFonts w:ascii="Arial" w:hAnsi="Arial" w:cs="Arial"/>
                <w:color w:val="000000"/>
                <w:sz w:val="24"/>
                <w:szCs w:val="24"/>
              </w:rPr>
              <w:t>1,01</w:t>
            </w:r>
          </w:p>
        </w:tc>
        <w:tc>
          <w:tcPr>
            <w:tcW w:w="2486" w:type="dxa"/>
            <w:tcBorders>
              <w:top w:val="nil"/>
              <w:left w:val="nil"/>
              <w:bottom w:val="single" w:sz="8" w:space="0" w:color="auto"/>
              <w:right w:val="single" w:sz="8" w:space="0" w:color="auto"/>
            </w:tcBorders>
            <w:shd w:val="clear" w:color="auto" w:fill="auto"/>
            <w:vAlign w:val="center"/>
            <w:hideMark/>
          </w:tcPr>
          <w:p w14:paraId="2C1997FA" w14:textId="77777777" w:rsidR="002F1498" w:rsidRPr="002F1498" w:rsidRDefault="002F1498" w:rsidP="00B61B24">
            <w:pPr>
              <w:widowControl w:val="0"/>
              <w:jc w:val="right"/>
              <w:rPr>
                <w:rFonts w:ascii="Arial" w:hAnsi="Arial" w:cs="Arial"/>
                <w:color w:val="000000"/>
                <w:sz w:val="24"/>
                <w:szCs w:val="24"/>
              </w:rPr>
            </w:pPr>
            <w:r w:rsidRPr="002F1498">
              <w:rPr>
                <w:rFonts w:ascii="Arial" w:hAnsi="Arial" w:cs="Arial"/>
                <w:color w:val="000000"/>
                <w:sz w:val="24"/>
                <w:szCs w:val="24"/>
              </w:rPr>
              <w:t>1,36</w:t>
            </w:r>
          </w:p>
        </w:tc>
      </w:tr>
      <w:tr w:rsidR="002F1498" w:rsidRPr="00546B51" w14:paraId="7F043C66" w14:textId="77777777" w:rsidTr="002F1498">
        <w:trPr>
          <w:trHeight w:val="327"/>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221F0139" w14:textId="77777777" w:rsidR="002F1498" w:rsidRPr="002F1498" w:rsidRDefault="002F1498" w:rsidP="00B61B24">
            <w:pPr>
              <w:widowControl w:val="0"/>
              <w:jc w:val="center"/>
              <w:rPr>
                <w:rFonts w:ascii="Arial" w:hAnsi="Arial" w:cs="Arial"/>
                <w:color w:val="000000"/>
                <w:sz w:val="24"/>
                <w:szCs w:val="24"/>
              </w:rPr>
            </w:pPr>
            <w:r w:rsidRPr="002F1498">
              <w:rPr>
                <w:rFonts w:ascii="Arial" w:hAnsi="Arial" w:cs="Arial"/>
                <w:color w:val="000000"/>
                <w:sz w:val="24"/>
                <w:szCs w:val="24"/>
              </w:rPr>
              <w:t>TOTAL</w:t>
            </w:r>
          </w:p>
        </w:tc>
        <w:tc>
          <w:tcPr>
            <w:tcW w:w="2288" w:type="dxa"/>
            <w:tcBorders>
              <w:top w:val="nil"/>
              <w:left w:val="nil"/>
              <w:bottom w:val="single" w:sz="8" w:space="0" w:color="auto"/>
              <w:right w:val="single" w:sz="8" w:space="0" w:color="auto"/>
            </w:tcBorders>
            <w:shd w:val="clear" w:color="auto" w:fill="auto"/>
            <w:vAlign w:val="center"/>
            <w:hideMark/>
          </w:tcPr>
          <w:p w14:paraId="1A7EB32A" w14:textId="77777777" w:rsidR="002F1498" w:rsidRPr="002F1498" w:rsidRDefault="002F1498" w:rsidP="00B61B24">
            <w:pPr>
              <w:widowControl w:val="0"/>
              <w:jc w:val="right"/>
              <w:rPr>
                <w:rFonts w:ascii="Arial" w:hAnsi="Arial" w:cs="Arial"/>
                <w:b/>
                <w:bCs/>
                <w:color w:val="000000"/>
                <w:sz w:val="24"/>
                <w:szCs w:val="24"/>
              </w:rPr>
            </w:pPr>
            <w:r w:rsidRPr="002F1498">
              <w:rPr>
                <w:rFonts w:ascii="Arial" w:hAnsi="Arial" w:cs="Arial"/>
                <w:b/>
                <w:bCs/>
                <w:color w:val="000000"/>
                <w:sz w:val="24"/>
                <w:szCs w:val="24"/>
              </w:rPr>
              <w:t>4,63</w:t>
            </w:r>
          </w:p>
        </w:tc>
        <w:tc>
          <w:tcPr>
            <w:tcW w:w="2486" w:type="dxa"/>
            <w:tcBorders>
              <w:top w:val="nil"/>
              <w:left w:val="nil"/>
              <w:bottom w:val="single" w:sz="8" w:space="0" w:color="auto"/>
              <w:right w:val="single" w:sz="8" w:space="0" w:color="auto"/>
            </w:tcBorders>
            <w:shd w:val="clear" w:color="auto" w:fill="auto"/>
            <w:vAlign w:val="center"/>
            <w:hideMark/>
          </w:tcPr>
          <w:p w14:paraId="09AC025E" w14:textId="77777777" w:rsidR="002F1498" w:rsidRPr="002F1498" w:rsidRDefault="002F1498" w:rsidP="00B61B24">
            <w:pPr>
              <w:widowControl w:val="0"/>
              <w:jc w:val="right"/>
              <w:rPr>
                <w:rFonts w:ascii="Arial" w:hAnsi="Arial" w:cs="Arial"/>
                <w:b/>
                <w:bCs/>
                <w:color w:val="000000"/>
                <w:sz w:val="24"/>
                <w:szCs w:val="24"/>
              </w:rPr>
            </w:pPr>
            <w:r w:rsidRPr="002F1498">
              <w:rPr>
                <w:rFonts w:ascii="Arial" w:hAnsi="Arial" w:cs="Arial"/>
                <w:b/>
                <w:bCs/>
                <w:color w:val="000000"/>
                <w:sz w:val="24"/>
                <w:szCs w:val="24"/>
              </w:rPr>
              <w:t>23,79</w:t>
            </w:r>
          </w:p>
        </w:tc>
        <w:tc>
          <w:tcPr>
            <w:tcW w:w="2486" w:type="dxa"/>
            <w:tcBorders>
              <w:top w:val="nil"/>
              <w:left w:val="nil"/>
              <w:bottom w:val="single" w:sz="8" w:space="0" w:color="auto"/>
              <w:right w:val="single" w:sz="8" w:space="0" w:color="auto"/>
            </w:tcBorders>
            <w:shd w:val="clear" w:color="auto" w:fill="auto"/>
            <w:vAlign w:val="center"/>
            <w:hideMark/>
          </w:tcPr>
          <w:p w14:paraId="26E374CA" w14:textId="77777777" w:rsidR="002F1498" w:rsidRPr="002F1498" w:rsidRDefault="002F1498" w:rsidP="00B61B24">
            <w:pPr>
              <w:widowControl w:val="0"/>
              <w:jc w:val="right"/>
              <w:rPr>
                <w:rFonts w:ascii="Arial" w:hAnsi="Arial" w:cs="Arial"/>
                <w:b/>
                <w:bCs/>
                <w:color w:val="000000"/>
                <w:sz w:val="24"/>
                <w:szCs w:val="24"/>
              </w:rPr>
            </w:pPr>
            <w:r w:rsidRPr="002F1498">
              <w:rPr>
                <w:rFonts w:ascii="Arial" w:hAnsi="Arial" w:cs="Arial"/>
                <w:b/>
                <w:bCs/>
                <w:color w:val="000000"/>
                <w:sz w:val="24"/>
                <w:szCs w:val="24"/>
              </w:rPr>
              <w:t>28,41</w:t>
            </w:r>
          </w:p>
        </w:tc>
      </w:tr>
    </w:tbl>
    <w:p w14:paraId="5783FB9E" w14:textId="77777777" w:rsidR="002F1498" w:rsidRDefault="002F1498" w:rsidP="00B61B24">
      <w:pPr>
        <w:widowControl w:val="0"/>
        <w:ind w:left="360" w:right="276"/>
        <w:jc w:val="right"/>
        <w:rPr>
          <w:rFonts w:ascii="Arial" w:hAnsi="Arial" w:cs="Arial"/>
          <w:sz w:val="24"/>
        </w:rPr>
      </w:pPr>
    </w:p>
    <w:p w14:paraId="51673D26" w14:textId="4206F7FF" w:rsidR="002F1498" w:rsidRPr="002F1498" w:rsidRDefault="002F1498" w:rsidP="00B61B24">
      <w:pPr>
        <w:widowControl w:val="0"/>
        <w:ind w:right="276"/>
        <w:rPr>
          <w:rFonts w:ascii="Arial" w:hAnsi="Arial" w:cs="Arial"/>
          <w:szCs w:val="28"/>
        </w:rPr>
      </w:pPr>
      <w:r w:rsidRPr="002F1498">
        <w:rPr>
          <w:rFonts w:ascii="Arial" w:hAnsi="Arial" w:cs="Arial"/>
          <w:szCs w:val="28"/>
        </w:rPr>
        <w:t xml:space="preserve">Por otro lado, además del gasto en prestaciones por desempleo hay que tener </w:t>
      </w:r>
      <w:r w:rsidRPr="002F1498">
        <w:rPr>
          <w:rFonts w:ascii="Arial" w:hAnsi="Arial" w:cs="Arial"/>
          <w:szCs w:val="28"/>
        </w:rPr>
        <w:lastRenderedPageBreak/>
        <w:t>en cuenta que el SEPE gestiona diversos programas de políticas activas de empleo que recogen subvenciones cuya cuantía se determina en función del SMI. De esta forma un aumento del SMI implicará un aumento del gasto necesario para financiar este tipo de programas.</w:t>
      </w:r>
    </w:p>
    <w:p w14:paraId="5A1FA722" w14:textId="77777777" w:rsidR="002F1498" w:rsidRPr="002F1498" w:rsidRDefault="002F1498" w:rsidP="00B61B24">
      <w:pPr>
        <w:widowControl w:val="0"/>
        <w:ind w:right="276"/>
        <w:rPr>
          <w:rFonts w:ascii="Arial" w:hAnsi="Arial" w:cs="Arial"/>
          <w:szCs w:val="28"/>
        </w:rPr>
      </w:pPr>
      <w:r w:rsidRPr="002F1498">
        <w:rPr>
          <w:rFonts w:ascii="Arial" w:hAnsi="Arial" w:cs="Arial"/>
          <w:szCs w:val="28"/>
        </w:rPr>
        <w:t>El coste tomando en cuenta las plantillas de CEE a 31/12/2022 (último dato consolidado) ascendería a 744,5M, teniendo en cuenta que el importe de las subvenciones pasa del 50% del SMI al 55% en el caso de personas con discapacidad severa.</w:t>
      </w:r>
    </w:p>
    <w:p w14:paraId="0B5BAB35" w14:textId="77777777" w:rsidR="002F1498" w:rsidRPr="002F1498" w:rsidRDefault="002F1498" w:rsidP="002F1498">
      <w:pPr>
        <w:ind w:right="276"/>
        <w:rPr>
          <w:rFonts w:ascii="Arial" w:hAnsi="Arial" w:cs="Arial"/>
          <w:szCs w:val="28"/>
        </w:rPr>
      </w:pPr>
      <w:r w:rsidRPr="002F1498">
        <w:rPr>
          <w:rFonts w:ascii="Arial" w:hAnsi="Arial" w:cs="Arial"/>
          <w:szCs w:val="28"/>
        </w:rPr>
        <w:t>De esta forma cada aumento de un punto del SMI sería de 7,5M de euros aproximadamente.</w:t>
      </w:r>
    </w:p>
    <w:p w14:paraId="2F864B1D" w14:textId="77777777" w:rsidR="002F1498" w:rsidRPr="002F1498" w:rsidRDefault="002F1498" w:rsidP="002F1498">
      <w:pPr>
        <w:ind w:right="276"/>
        <w:rPr>
          <w:rFonts w:ascii="Arial" w:hAnsi="Arial" w:cs="Arial"/>
          <w:szCs w:val="28"/>
        </w:rPr>
      </w:pPr>
      <w:r w:rsidRPr="002F1498">
        <w:rPr>
          <w:rFonts w:ascii="Arial" w:hAnsi="Arial" w:cs="Arial"/>
          <w:szCs w:val="28"/>
        </w:rPr>
        <w:t>En el caso del programa de Escuelas Taller y Talleres de Empleo, los gastos afectados por el aumento del SMI serían los salarios de los alumnos trabajadores, que representan entre el 55-60% del gasto total de cada proyecto.</w:t>
      </w:r>
    </w:p>
    <w:p w14:paraId="4715D0DD" w14:textId="53159EB1" w:rsidR="002F1498" w:rsidRDefault="002F1498" w:rsidP="002F1498">
      <w:pPr>
        <w:ind w:right="276"/>
        <w:rPr>
          <w:rFonts w:ascii="Arial" w:hAnsi="Arial" w:cs="Arial"/>
          <w:szCs w:val="28"/>
        </w:rPr>
      </w:pPr>
      <w:r w:rsidRPr="002F1498">
        <w:rPr>
          <w:rFonts w:ascii="Arial" w:hAnsi="Arial" w:cs="Arial"/>
          <w:szCs w:val="28"/>
        </w:rPr>
        <w:t>En 2024 se estima un gasto en estos programas de en torno a 727M de euros, por lo que el aumento de un punto en el SMI implicará un mayor gasto de 4,4M de euros.</w:t>
      </w:r>
    </w:p>
    <w:p w14:paraId="1EEE5278" w14:textId="77777777" w:rsidR="002F1498" w:rsidRPr="002F1498" w:rsidRDefault="002F1498" w:rsidP="002F1498">
      <w:pPr>
        <w:spacing w:before="0" w:after="0"/>
        <w:ind w:right="276"/>
        <w:rPr>
          <w:rFonts w:ascii="Arial" w:hAnsi="Arial" w:cs="Arial"/>
          <w:spacing w:val="-4"/>
          <w:szCs w:val="28"/>
        </w:rPr>
      </w:pPr>
    </w:p>
    <w:bookmarkEnd w:id="10"/>
    <w:p w14:paraId="69C846BD" w14:textId="77777777" w:rsidR="001629B6" w:rsidRPr="00D27043" w:rsidRDefault="001629B6" w:rsidP="001629B6">
      <w:pPr>
        <w:spacing w:line="276" w:lineRule="auto"/>
        <w:rPr>
          <w:rFonts w:ascii="Arial" w:eastAsia="Calibri" w:hAnsi="Arial" w:cs="Arial"/>
          <w:b/>
          <w:szCs w:val="28"/>
          <w:u w:val="single"/>
          <w:lang w:eastAsia="en-US"/>
        </w:rPr>
      </w:pPr>
      <w:r w:rsidRPr="00D27043">
        <w:rPr>
          <w:rFonts w:ascii="Arial" w:eastAsia="Calibri" w:hAnsi="Arial" w:cs="Arial"/>
          <w:b/>
          <w:szCs w:val="28"/>
          <w:u w:val="single"/>
          <w:lang w:eastAsia="en-US"/>
        </w:rPr>
        <w:t>3. ANÁLISIS DE LAS CARGAS ADMINISTRATIVAS</w:t>
      </w:r>
    </w:p>
    <w:p w14:paraId="434EB300" w14:textId="694172F6" w:rsidR="001629B6" w:rsidRPr="00ED133C" w:rsidRDefault="001629B6" w:rsidP="001629B6">
      <w:pPr>
        <w:spacing w:line="276" w:lineRule="auto"/>
        <w:rPr>
          <w:rFonts w:ascii="Arial" w:eastAsia="Calibri" w:hAnsi="Arial" w:cs="Arial"/>
          <w:szCs w:val="28"/>
          <w:lang w:eastAsia="en-US"/>
        </w:rPr>
      </w:pPr>
      <w:r w:rsidRPr="00ED133C">
        <w:rPr>
          <w:rFonts w:ascii="Arial" w:eastAsia="Calibri" w:hAnsi="Arial" w:cs="Arial"/>
          <w:szCs w:val="28"/>
          <w:lang w:eastAsia="en-US"/>
        </w:rPr>
        <w:t>El cumplimiento por parte de las empresas de las obligaciones derivadas de la norma contenida en el proyecto no afecta a las cargas administrativas existentes ni para reducirlas ni para aumentarlas.</w:t>
      </w:r>
    </w:p>
    <w:p w14:paraId="0EE43E82" w14:textId="77777777" w:rsidR="008E1676" w:rsidRPr="00ED133C" w:rsidRDefault="008E1676" w:rsidP="001629B6">
      <w:pPr>
        <w:spacing w:line="276" w:lineRule="auto"/>
        <w:rPr>
          <w:rFonts w:ascii="Arial" w:eastAsia="Calibri" w:hAnsi="Arial" w:cs="Arial"/>
          <w:szCs w:val="28"/>
          <w:lang w:eastAsia="en-US"/>
        </w:rPr>
      </w:pPr>
    </w:p>
    <w:p w14:paraId="6E2B3FC6" w14:textId="77777777" w:rsidR="00453EBC" w:rsidRPr="00D27043" w:rsidRDefault="00453EBC" w:rsidP="00453EBC">
      <w:pPr>
        <w:spacing w:line="276" w:lineRule="auto"/>
        <w:rPr>
          <w:rFonts w:ascii="Arial" w:eastAsia="Calibri" w:hAnsi="Arial" w:cs="Arial"/>
          <w:b/>
          <w:szCs w:val="28"/>
          <w:u w:val="single"/>
          <w:lang w:eastAsia="en-US"/>
        </w:rPr>
      </w:pPr>
      <w:bookmarkStart w:id="12" w:name="_Hlk153960962"/>
      <w:r w:rsidRPr="00C62B2D">
        <w:rPr>
          <w:rFonts w:ascii="Arial" w:eastAsia="Calibri" w:hAnsi="Arial" w:cs="Arial"/>
          <w:b/>
          <w:szCs w:val="28"/>
          <w:lang w:eastAsia="en-US"/>
        </w:rPr>
        <w:t xml:space="preserve">4. </w:t>
      </w:r>
      <w:r w:rsidRPr="00C62B2D">
        <w:rPr>
          <w:rFonts w:ascii="Arial" w:eastAsia="Calibri" w:hAnsi="Arial" w:cs="Arial"/>
          <w:b/>
          <w:szCs w:val="28"/>
          <w:u w:val="single"/>
          <w:lang w:eastAsia="en-US"/>
        </w:rPr>
        <w:t>IMPACTO POR RAZÓN DE GÉNERO</w:t>
      </w:r>
    </w:p>
    <w:p w14:paraId="0C3A82D9" w14:textId="77777777" w:rsidR="00453EBC" w:rsidRPr="00ED133C" w:rsidRDefault="00453EBC" w:rsidP="00453EBC">
      <w:pPr>
        <w:overflowPunct w:val="0"/>
        <w:autoSpaceDE w:val="0"/>
        <w:autoSpaceDN w:val="0"/>
        <w:adjustRightInd w:val="0"/>
        <w:spacing w:line="276" w:lineRule="auto"/>
        <w:textAlignment w:val="baseline"/>
        <w:rPr>
          <w:rFonts w:ascii="Arial" w:hAnsi="Arial" w:cs="Arial"/>
          <w:szCs w:val="28"/>
        </w:rPr>
      </w:pPr>
      <w:r w:rsidRPr="00ED133C">
        <w:rPr>
          <w:rFonts w:ascii="Arial" w:hAnsi="Arial" w:cs="Arial"/>
          <w:szCs w:val="28"/>
        </w:rPr>
        <w:t>De conformidad con artículo 19 de la Ley Orgánica 3/2007, de 22 de marzo, para la igualdad efectiva entre mujeres y hombres, y el artículo 26.3.f) de la Ley 50/1997, de 27 de noviembre, el proyecto de real decreto no contiene disposiciones diferenciadas para los trabajadores y para las trabajadoras, ni normas específicas relacionadas con el género.</w:t>
      </w:r>
    </w:p>
    <w:p w14:paraId="3BBA724F" w14:textId="77777777" w:rsidR="00453EBC" w:rsidRPr="00ED133C" w:rsidRDefault="00453EBC" w:rsidP="00453EBC">
      <w:pPr>
        <w:overflowPunct w:val="0"/>
        <w:autoSpaceDE w:val="0"/>
        <w:autoSpaceDN w:val="0"/>
        <w:adjustRightInd w:val="0"/>
        <w:spacing w:line="276" w:lineRule="auto"/>
        <w:textAlignment w:val="baseline"/>
        <w:rPr>
          <w:rFonts w:ascii="Arial" w:hAnsi="Arial" w:cs="Arial"/>
          <w:szCs w:val="28"/>
        </w:rPr>
      </w:pPr>
      <w:r w:rsidRPr="00ED133C">
        <w:rPr>
          <w:rFonts w:ascii="Arial" w:hAnsi="Arial" w:cs="Arial"/>
          <w:szCs w:val="28"/>
        </w:rPr>
        <w:t>No obstante lo anterior, el texto proyectado tiene un importante impacto indirecto desde la perspectiva de género, toda vez que estadísticamente los salarios más bajos corresponden a las mujeres trabajadoras, por lo que el incremento de la cuantía del SMI afecta con mayor intensidad al sexo femenino que al masculino.</w:t>
      </w:r>
    </w:p>
    <w:p w14:paraId="7AC0125E" w14:textId="77777777" w:rsidR="00453EBC" w:rsidRPr="00ED133C" w:rsidRDefault="00453EBC" w:rsidP="00453EBC">
      <w:pPr>
        <w:overflowPunct w:val="0"/>
        <w:autoSpaceDE w:val="0"/>
        <w:autoSpaceDN w:val="0"/>
        <w:adjustRightInd w:val="0"/>
        <w:spacing w:line="276" w:lineRule="auto"/>
        <w:textAlignment w:val="baseline"/>
        <w:rPr>
          <w:rFonts w:ascii="Arial" w:hAnsi="Arial" w:cs="Arial"/>
          <w:szCs w:val="28"/>
        </w:rPr>
      </w:pPr>
      <w:r w:rsidRPr="00ED133C">
        <w:rPr>
          <w:rFonts w:ascii="Arial" w:hAnsi="Arial" w:cs="Arial"/>
          <w:szCs w:val="28"/>
        </w:rPr>
        <w:t xml:space="preserve">En este sentido, si bien tanto el artículo 157 del Tratado de Funcionamiento de la Unión Europea como el artículo 28 del Estatuto de los Trabajadores y el Real Decreto 902/2020, de 13 de octubre, de igualdad retributiva entre mujeres y hombres, establecen el principio de igualdad de retribución entre hombres y </w:t>
      </w:r>
      <w:r w:rsidRPr="00ED133C">
        <w:rPr>
          <w:rFonts w:ascii="Arial" w:hAnsi="Arial" w:cs="Arial"/>
          <w:szCs w:val="28"/>
        </w:rPr>
        <w:lastRenderedPageBreak/>
        <w:t>mujeres para un trabajo de valor igual, la situación real es que la desigualdad retributiva es un hecho reiteradamente puesto de manifiesto en los numerosos estudios y en las estadísticas realizadas sobre la materia</w:t>
      </w:r>
      <w:r w:rsidRPr="00ED133C">
        <w:rPr>
          <w:rStyle w:val="Refdenotaalpie"/>
          <w:rFonts w:ascii="Arial" w:hAnsi="Arial" w:cs="Arial"/>
          <w:szCs w:val="28"/>
        </w:rPr>
        <w:footnoteReference w:id="14"/>
      </w:r>
      <w:r w:rsidRPr="00ED133C">
        <w:rPr>
          <w:rFonts w:ascii="Arial" w:hAnsi="Arial" w:cs="Arial"/>
          <w:szCs w:val="28"/>
        </w:rPr>
        <w:t>.</w:t>
      </w:r>
    </w:p>
    <w:p w14:paraId="358D9FE7" w14:textId="77777777" w:rsidR="00453EBC" w:rsidRPr="00ED133C" w:rsidRDefault="00453EBC" w:rsidP="00453EBC">
      <w:pPr>
        <w:overflowPunct w:val="0"/>
        <w:autoSpaceDE w:val="0"/>
        <w:autoSpaceDN w:val="0"/>
        <w:adjustRightInd w:val="0"/>
        <w:spacing w:line="276" w:lineRule="auto"/>
        <w:textAlignment w:val="baseline"/>
        <w:rPr>
          <w:rFonts w:ascii="Arial" w:hAnsi="Arial" w:cs="Arial"/>
          <w:szCs w:val="28"/>
        </w:rPr>
      </w:pPr>
      <w:r w:rsidRPr="00ED133C">
        <w:rPr>
          <w:rFonts w:ascii="Arial" w:hAnsi="Arial" w:cs="Arial"/>
          <w:szCs w:val="28"/>
        </w:rPr>
        <w:t xml:space="preserve">Al propio tiempo, es comúnmente admitido que el salario mínimo constituye una valiosa herramienta legislativa para prevenir las diferencias salariales entre hombres y mujeres, como demuestran los estudios realizados en la Unión Europea, que han resaltado que </w:t>
      </w:r>
      <w:r w:rsidRPr="00ED133C">
        <w:rPr>
          <w:rFonts w:ascii="Arial" w:hAnsi="Arial" w:cs="Arial"/>
          <w:i/>
          <w:szCs w:val="28"/>
        </w:rPr>
        <w:t>la brecha salarial tiende a ser más estrecha en los países con una protección salarial fuerte, ya sea estatutaria o acordada colectivamente</w:t>
      </w:r>
      <w:r w:rsidRPr="00ED133C">
        <w:rPr>
          <w:rStyle w:val="Refdenotaalpie"/>
          <w:rFonts w:ascii="Arial" w:hAnsi="Arial" w:cs="Arial"/>
          <w:szCs w:val="28"/>
        </w:rPr>
        <w:footnoteReference w:id="15"/>
      </w:r>
      <w:r w:rsidRPr="00ED133C">
        <w:rPr>
          <w:rFonts w:ascii="Arial" w:hAnsi="Arial" w:cs="Arial"/>
          <w:szCs w:val="28"/>
        </w:rPr>
        <w:t xml:space="preserve">. </w:t>
      </w:r>
    </w:p>
    <w:p w14:paraId="533BBF6F" w14:textId="77777777" w:rsidR="00E736D9" w:rsidRPr="00E736D9" w:rsidRDefault="00E736D9" w:rsidP="00E736D9">
      <w:pPr>
        <w:overflowPunct w:val="0"/>
        <w:autoSpaceDE w:val="0"/>
        <w:autoSpaceDN w:val="0"/>
        <w:adjustRightInd w:val="0"/>
        <w:spacing w:line="276" w:lineRule="auto"/>
        <w:textAlignment w:val="baseline"/>
        <w:rPr>
          <w:rFonts w:ascii="Arial" w:hAnsi="Arial" w:cs="Arial"/>
          <w:szCs w:val="28"/>
        </w:rPr>
      </w:pPr>
      <w:bookmarkStart w:id="13" w:name="_Hlk26888128"/>
      <w:bookmarkEnd w:id="12"/>
      <w:r w:rsidRPr="00E736D9">
        <w:rPr>
          <w:rFonts w:ascii="Arial" w:hAnsi="Arial" w:cs="Arial"/>
          <w:szCs w:val="28"/>
        </w:rPr>
        <w:t xml:space="preserve">Y es que la relación entre la subida del SMI y la brecha salarial de género es inversa: es decir, el incremento del SMI favorece a la reducción de la brecha salarial. Gracias a los datos de la EES publicada por el INE para 2021 conocemos que es mayor la proporción de mujeres cuya ganancia se sitúa en torno al SMI (concretamente el 25% de las mujeres se encuentra en el entorno del SMI frente al 10,69% de los hombres) debido a la mayor discriminación que sufren las mujeres en el mercado laboral. Esto repercute en que una subida del SMI les beneficia en mayor proporción que a los hombres. En el año 2021, el SMI experimentó un incremento de 1,6% con respecto al 2020 y un 31,1% con respecto al 2018.Para ese mismo año, la brecha salarial de género se ha reducido 3,05 </w:t>
      </w:r>
      <w:proofErr w:type="spellStart"/>
      <w:r w:rsidRPr="00E736D9">
        <w:rPr>
          <w:rFonts w:ascii="Arial" w:hAnsi="Arial" w:cs="Arial"/>
          <w:szCs w:val="28"/>
        </w:rPr>
        <w:t>pp</w:t>
      </w:r>
      <w:proofErr w:type="spellEnd"/>
      <w:r w:rsidRPr="00E736D9">
        <w:rPr>
          <w:rFonts w:ascii="Arial" w:hAnsi="Arial" w:cs="Arial"/>
          <w:szCs w:val="28"/>
        </w:rPr>
        <w:t xml:space="preserve"> con respecto a su valor en 2018 y 0,36 </w:t>
      </w:r>
      <w:proofErr w:type="spellStart"/>
      <w:r w:rsidRPr="00E736D9">
        <w:rPr>
          <w:rFonts w:ascii="Arial" w:hAnsi="Arial" w:cs="Arial"/>
          <w:szCs w:val="28"/>
        </w:rPr>
        <w:t>pp</w:t>
      </w:r>
      <w:proofErr w:type="spellEnd"/>
      <w:r w:rsidRPr="00E736D9">
        <w:rPr>
          <w:rFonts w:ascii="Arial" w:hAnsi="Arial" w:cs="Arial"/>
          <w:szCs w:val="28"/>
        </w:rPr>
        <w:t xml:space="preserve"> con respecto al 2020. Esta reducción de la brecha de género se debe a que los salarios medios de las mujeres aumentaron en 2021 un 3,2%, un valor que se sitúa por encima del aumento de los salarios masculinos (2,7%), y en parte se explica porque existe una mayor proporción de mujeres cuya ganancia se sitúa en torno al SMI. Es por ello por lo que se puede intuir que la subida del SMI ha tenido un efecto positivo en la subida de los salarios medios de las mujeres.</w:t>
      </w:r>
    </w:p>
    <w:p w14:paraId="3F4F46CA" w14:textId="362BDC51" w:rsidR="00214261" w:rsidRDefault="00E736D9" w:rsidP="00E736D9">
      <w:pPr>
        <w:overflowPunct w:val="0"/>
        <w:autoSpaceDE w:val="0"/>
        <w:autoSpaceDN w:val="0"/>
        <w:adjustRightInd w:val="0"/>
        <w:spacing w:line="276" w:lineRule="auto"/>
        <w:textAlignment w:val="baseline"/>
        <w:rPr>
          <w:rFonts w:ascii="Arial" w:hAnsi="Arial" w:cs="Arial"/>
          <w:szCs w:val="28"/>
        </w:rPr>
      </w:pPr>
      <w:r w:rsidRPr="00E736D9">
        <w:rPr>
          <w:rFonts w:ascii="Arial" w:hAnsi="Arial" w:cs="Arial"/>
          <w:szCs w:val="28"/>
        </w:rPr>
        <w:t>En definitiva, las consideraciones anteriores permiten concluir que la medida proyectada tiene un efecto positivo desde la perspectiva de género, en cuanto que ha de contribuir a la disminución de las diferencias salariales entre hombres y mujeres en el mercado laboral español.</w:t>
      </w:r>
    </w:p>
    <w:p w14:paraId="35EB0F02" w14:textId="77777777" w:rsidR="00E736D9" w:rsidRPr="00ED133C" w:rsidRDefault="00E736D9" w:rsidP="00E736D9">
      <w:pPr>
        <w:overflowPunct w:val="0"/>
        <w:autoSpaceDE w:val="0"/>
        <w:autoSpaceDN w:val="0"/>
        <w:adjustRightInd w:val="0"/>
        <w:spacing w:line="276" w:lineRule="auto"/>
        <w:textAlignment w:val="baseline"/>
        <w:rPr>
          <w:rFonts w:ascii="Arial" w:hAnsi="Arial" w:cs="Arial"/>
          <w:szCs w:val="28"/>
        </w:rPr>
      </w:pPr>
    </w:p>
    <w:p w14:paraId="69FF76D0" w14:textId="64E8DE27" w:rsidR="00797D80" w:rsidRPr="00D27043" w:rsidRDefault="00797D80" w:rsidP="00797D80">
      <w:pPr>
        <w:overflowPunct w:val="0"/>
        <w:autoSpaceDE w:val="0"/>
        <w:autoSpaceDN w:val="0"/>
        <w:adjustRightInd w:val="0"/>
        <w:spacing w:line="276" w:lineRule="auto"/>
        <w:textAlignment w:val="baseline"/>
        <w:rPr>
          <w:rFonts w:ascii="Arial" w:hAnsi="Arial" w:cs="Arial"/>
          <w:b/>
          <w:szCs w:val="28"/>
        </w:rPr>
      </w:pPr>
      <w:r w:rsidRPr="00D27043">
        <w:rPr>
          <w:rFonts w:ascii="Arial" w:hAnsi="Arial" w:cs="Arial"/>
          <w:b/>
          <w:szCs w:val="28"/>
        </w:rPr>
        <w:lastRenderedPageBreak/>
        <w:t xml:space="preserve">5. </w:t>
      </w:r>
      <w:r w:rsidRPr="00D27043">
        <w:rPr>
          <w:rFonts w:ascii="Arial" w:hAnsi="Arial" w:cs="Arial"/>
          <w:b/>
          <w:szCs w:val="28"/>
          <w:u w:val="single"/>
        </w:rPr>
        <w:t>IMPACTO EN LA FAMILIA</w:t>
      </w:r>
      <w:r w:rsidR="00D27043">
        <w:rPr>
          <w:rFonts w:ascii="Arial" w:hAnsi="Arial" w:cs="Arial"/>
          <w:b/>
          <w:szCs w:val="28"/>
          <w:u w:val="single"/>
        </w:rPr>
        <w:t>.</w:t>
      </w:r>
    </w:p>
    <w:p w14:paraId="087DF4A4" w14:textId="3ED0C8EB" w:rsidR="00797D80" w:rsidRPr="00ED133C" w:rsidRDefault="00797D80" w:rsidP="00797D80">
      <w:pPr>
        <w:overflowPunct w:val="0"/>
        <w:autoSpaceDE w:val="0"/>
        <w:autoSpaceDN w:val="0"/>
        <w:adjustRightInd w:val="0"/>
        <w:spacing w:line="276" w:lineRule="auto"/>
        <w:textAlignment w:val="baseline"/>
        <w:rPr>
          <w:rFonts w:ascii="Arial" w:hAnsi="Arial" w:cs="Arial"/>
          <w:szCs w:val="28"/>
        </w:rPr>
      </w:pPr>
      <w:r w:rsidRPr="00ED133C">
        <w:rPr>
          <w:rFonts w:ascii="Arial" w:hAnsi="Arial" w:cs="Arial"/>
          <w:szCs w:val="28"/>
        </w:rPr>
        <w:t>De acuerdo con lo previsto en la disposición adicional décima de la Ley 40/2003, de 18 de noviembre, de protección a las familias numerosas, introducida por la disposición final quinta de la Ley 26/2015, de 28 de julio, de modificación del sistema de protección a la infancia y a la adolescencia, debe señalarse que, dado el incremento de la cuantía del SMI que recoge, el proyecto normativo tendrá un impacto positivo en la familia, al aumentar la renta disponible de las familias de los trabajadores referidos en el apartado anterior.</w:t>
      </w:r>
      <w:bookmarkEnd w:id="13"/>
    </w:p>
    <w:p w14:paraId="17103C60" w14:textId="77777777" w:rsidR="00D27043" w:rsidRDefault="00D27043" w:rsidP="00797D80">
      <w:pPr>
        <w:overflowPunct w:val="0"/>
        <w:autoSpaceDE w:val="0"/>
        <w:autoSpaceDN w:val="0"/>
        <w:adjustRightInd w:val="0"/>
        <w:spacing w:line="276" w:lineRule="auto"/>
        <w:textAlignment w:val="baseline"/>
        <w:rPr>
          <w:rFonts w:ascii="Arial" w:hAnsi="Arial" w:cs="Arial"/>
          <w:szCs w:val="28"/>
        </w:rPr>
      </w:pPr>
    </w:p>
    <w:p w14:paraId="631EDA58" w14:textId="549F6F9C" w:rsidR="00E15034" w:rsidRPr="00D27043" w:rsidRDefault="00797D80" w:rsidP="00797D80">
      <w:pPr>
        <w:overflowPunct w:val="0"/>
        <w:autoSpaceDE w:val="0"/>
        <w:autoSpaceDN w:val="0"/>
        <w:adjustRightInd w:val="0"/>
        <w:spacing w:line="276" w:lineRule="auto"/>
        <w:textAlignment w:val="baseline"/>
        <w:rPr>
          <w:rFonts w:ascii="Arial" w:hAnsi="Arial" w:cs="Arial"/>
          <w:b/>
          <w:color w:val="FF0000"/>
          <w:szCs w:val="28"/>
        </w:rPr>
      </w:pPr>
      <w:r w:rsidRPr="00D27043">
        <w:rPr>
          <w:rFonts w:ascii="Arial" w:hAnsi="Arial" w:cs="Arial"/>
          <w:b/>
          <w:szCs w:val="28"/>
        </w:rPr>
        <w:t>6.</w:t>
      </w:r>
      <w:r w:rsidR="00F9478B" w:rsidRPr="00D27043">
        <w:rPr>
          <w:rFonts w:ascii="Arial" w:eastAsia="Calibri" w:hAnsi="Arial" w:cs="Arial"/>
          <w:b/>
          <w:szCs w:val="28"/>
          <w:lang w:eastAsia="en-US"/>
        </w:rPr>
        <w:t xml:space="preserve"> </w:t>
      </w:r>
      <w:r w:rsidR="00E15034" w:rsidRPr="00D27043">
        <w:rPr>
          <w:rFonts w:ascii="Arial" w:eastAsia="Calibri" w:hAnsi="Arial" w:cs="Arial"/>
          <w:b/>
          <w:szCs w:val="28"/>
          <w:u w:val="single"/>
          <w:lang w:eastAsia="en-US"/>
        </w:rPr>
        <w:t>IMPACTO EN LA INFANCIA Y EN LA ADOLESCENCIA</w:t>
      </w:r>
      <w:r w:rsidR="00D27043">
        <w:rPr>
          <w:rFonts w:ascii="Arial" w:eastAsia="Calibri" w:hAnsi="Arial" w:cs="Arial"/>
          <w:b/>
          <w:szCs w:val="28"/>
          <w:u w:val="single"/>
          <w:lang w:eastAsia="en-US"/>
        </w:rPr>
        <w:t>.</w:t>
      </w:r>
    </w:p>
    <w:p w14:paraId="31AB4699" w14:textId="14D4533A" w:rsidR="00797D80" w:rsidRPr="00ED133C" w:rsidRDefault="00E15034" w:rsidP="00E35BD4">
      <w:pPr>
        <w:spacing w:line="276" w:lineRule="auto"/>
        <w:rPr>
          <w:rFonts w:ascii="Arial" w:eastAsia="Calibri" w:hAnsi="Arial" w:cs="Arial"/>
          <w:szCs w:val="28"/>
          <w:lang w:eastAsia="en-US"/>
        </w:rPr>
      </w:pPr>
      <w:r w:rsidRPr="00ED133C">
        <w:rPr>
          <w:rFonts w:ascii="Arial" w:eastAsia="Calibri" w:hAnsi="Arial" w:cs="Arial"/>
          <w:szCs w:val="28"/>
          <w:lang w:eastAsia="en-US"/>
        </w:rPr>
        <w:t>De conformidad con lo dispuesto en el artículo 22 quinquies de la Ley Orgánica 1/1996, de 15 de enero, de Protección Jurídica del Menor, de modificación parcial del Código Civil y de la Ley de Enjuiciamiento Civil, en la redacción dada por la Ley 26/2015, de 28 de julio, de modificación del sistema de protección a la infancia y a la adolescencia, debe señalarse que,</w:t>
      </w:r>
      <w:r w:rsidR="00EA4FA6" w:rsidRPr="00ED133C">
        <w:rPr>
          <w:rFonts w:ascii="Arial" w:eastAsia="Calibri" w:hAnsi="Arial" w:cs="Arial"/>
          <w:szCs w:val="28"/>
          <w:lang w:eastAsia="en-US"/>
        </w:rPr>
        <w:t xml:space="preserve"> dado el incremento de la cuantía del SMI que recoge, </w:t>
      </w:r>
      <w:r w:rsidRPr="00ED133C">
        <w:rPr>
          <w:rFonts w:ascii="Arial" w:eastAsia="Calibri" w:hAnsi="Arial" w:cs="Arial"/>
          <w:szCs w:val="28"/>
          <w:lang w:eastAsia="en-US"/>
        </w:rPr>
        <w:t>el proyecto normativo tendrá un impacto positivo en la infancia y en la adolescencia, toda vez que supondrá un aumento de ingresos, al menos para las familias de los trabajadores cuyos salarios estén situados entre la</w:t>
      </w:r>
      <w:r w:rsidR="00451EF3" w:rsidRPr="00ED133C">
        <w:rPr>
          <w:rFonts w:ascii="Arial" w:eastAsia="Calibri" w:hAnsi="Arial" w:cs="Arial"/>
          <w:szCs w:val="28"/>
          <w:lang w:eastAsia="en-US"/>
        </w:rPr>
        <w:t xml:space="preserve"> cuantía del SMI vigente </w:t>
      </w:r>
      <w:r w:rsidR="00451EF3" w:rsidRPr="00BB6F56">
        <w:rPr>
          <w:rFonts w:ascii="Arial" w:eastAsia="Calibri" w:hAnsi="Arial" w:cs="Arial"/>
          <w:szCs w:val="28"/>
          <w:lang w:eastAsia="en-US"/>
        </w:rPr>
        <w:t xml:space="preserve">en </w:t>
      </w:r>
      <w:r w:rsidR="004405AC" w:rsidRPr="00BB6F56">
        <w:rPr>
          <w:rFonts w:ascii="Arial" w:eastAsia="Calibri" w:hAnsi="Arial" w:cs="Arial"/>
          <w:szCs w:val="28"/>
          <w:lang w:eastAsia="en-US"/>
        </w:rPr>
        <w:t>202</w:t>
      </w:r>
      <w:r w:rsidR="00BB6F56" w:rsidRPr="00BB6F56">
        <w:rPr>
          <w:rFonts w:ascii="Arial" w:eastAsia="Calibri" w:hAnsi="Arial" w:cs="Arial"/>
          <w:szCs w:val="28"/>
          <w:lang w:eastAsia="en-US"/>
        </w:rPr>
        <w:t>3</w:t>
      </w:r>
      <w:r w:rsidR="004405AC" w:rsidRPr="00ED133C">
        <w:rPr>
          <w:rFonts w:ascii="Arial" w:eastAsia="Calibri" w:hAnsi="Arial" w:cs="Arial"/>
          <w:szCs w:val="28"/>
          <w:lang w:eastAsia="en-US"/>
        </w:rPr>
        <w:t xml:space="preserve"> </w:t>
      </w:r>
      <w:r w:rsidRPr="00ED133C">
        <w:rPr>
          <w:rFonts w:ascii="Arial" w:eastAsia="Calibri" w:hAnsi="Arial" w:cs="Arial"/>
          <w:szCs w:val="28"/>
          <w:lang w:eastAsia="en-US"/>
        </w:rPr>
        <w:t>y la nueva cuantía que ahora se establece y, en consecuencia, un aumento de la renta disponible que afectará positivamente a los niños y adolescentes que dependan de ellos.</w:t>
      </w:r>
    </w:p>
    <w:p w14:paraId="02D5CEC0" w14:textId="77777777" w:rsidR="008E1676" w:rsidRPr="00ED133C" w:rsidRDefault="008E1676" w:rsidP="00E35BD4">
      <w:pPr>
        <w:spacing w:line="276" w:lineRule="auto"/>
        <w:rPr>
          <w:rFonts w:ascii="Arial" w:eastAsia="Calibri" w:hAnsi="Arial" w:cs="Arial"/>
          <w:szCs w:val="28"/>
          <w:lang w:eastAsia="en-US"/>
        </w:rPr>
      </w:pPr>
    </w:p>
    <w:p w14:paraId="12C03340" w14:textId="03898DAA" w:rsidR="00EA035D" w:rsidRPr="00D27043" w:rsidRDefault="00EA035D" w:rsidP="00E35BD4">
      <w:pPr>
        <w:spacing w:line="276" w:lineRule="auto"/>
        <w:rPr>
          <w:rFonts w:ascii="Arial" w:eastAsia="Calibri" w:hAnsi="Arial" w:cs="Arial"/>
          <w:b/>
          <w:szCs w:val="28"/>
          <w:u w:val="single"/>
          <w:lang w:eastAsia="en-US"/>
        </w:rPr>
      </w:pPr>
      <w:r w:rsidRPr="00D27043">
        <w:rPr>
          <w:rFonts w:ascii="Arial" w:eastAsia="Calibri" w:hAnsi="Arial" w:cs="Arial"/>
          <w:b/>
          <w:szCs w:val="28"/>
          <w:lang w:eastAsia="en-US"/>
        </w:rPr>
        <w:t xml:space="preserve">7. </w:t>
      </w:r>
      <w:r w:rsidRPr="00D27043">
        <w:rPr>
          <w:rFonts w:ascii="Arial" w:eastAsia="Calibri" w:hAnsi="Arial" w:cs="Arial"/>
          <w:b/>
          <w:szCs w:val="28"/>
          <w:u w:val="single"/>
          <w:lang w:eastAsia="en-US"/>
        </w:rPr>
        <w:t>IMPACTO POR RAZÓN DE CAMBIO CLIMÁTICO</w:t>
      </w:r>
      <w:r w:rsidR="00D27043">
        <w:rPr>
          <w:rFonts w:ascii="Arial" w:eastAsia="Calibri" w:hAnsi="Arial" w:cs="Arial"/>
          <w:b/>
          <w:szCs w:val="28"/>
          <w:u w:val="single"/>
          <w:lang w:eastAsia="en-US"/>
        </w:rPr>
        <w:t>.</w:t>
      </w:r>
    </w:p>
    <w:p w14:paraId="727AE5A7" w14:textId="7FC9B64E" w:rsidR="00EA035D" w:rsidRPr="00ED133C" w:rsidRDefault="00206655" w:rsidP="00E35BD4">
      <w:pPr>
        <w:spacing w:line="276" w:lineRule="auto"/>
        <w:rPr>
          <w:rFonts w:ascii="Arial" w:eastAsia="Calibri" w:hAnsi="Arial" w:cs="Arial"/>
          <w:szCs w:val="28"/>
          <w:lang w:eastAsia="en-US"/>
        </w:rPr>
      </w:pPr>
      <w:r w:rsidRPr="00ED133C">
        <w:rPr>
          <w:rFonts w:ascii="Arial" w:eastAsia="Calibri" w:hAnsi="Arial" w:cs="Arial"/>
          <w:szCs w:val="28"/>
          <w:lang w:eastAsia="en-US"/>
        </w:rPr>
        <w:t>En relación con lo previsto en el artículo 26.3.h) de la Ley 50/1997, de 27 de noviembre, se indica que e</w:t>
      </w:r>
      <w:r w:rsidR="00EA035D" w:rsidRPr="00ED133C">
        <w:rPr>
          <w:rFonts w:ascii="Arial" w:eastAsia="Calibri" w:hAnsi="Arial" w:cs="Arial"/>
          <w:szCs w:val="28"/>
          <w:lang w:eastAsia="en-US"/>
        </w:rPr>
        <w:t>ste real decreto no tiene un impacto relevante por razón de cambio climático, pues sus efectos sobre la mitigación y la adaptación al mismo resultan limitados, al referirse a un</w:t>
      </w:r>
      <w:r w:rsidR="006822F9" w:rsidRPr="00ED133C">
        <w:rPr>
          <w:rFonts w:ascii="Arial" w:eastAsia="Calibri" w:hAnsi="Arial" w:cs="Arial"/>
          <w:szCs w:val="28"/>
          <w:lang w:eastAsia="en-US"/>
        </w:rPr>
        <w:t>a</w:t>
      </w:r>
      <w:r w:rsidR="00EA035D" w:rsidRPr="00ED133C">
        <w:rPr>
          <w:rFonts w:ascii="Arial" w:eastAsia="Calibri" w:hAnsi="Arial" w:cs="Arial"/>
          <w:szCs w:val="28"/>
          <w:lang w:eastAsia="en-US"/>
        </w:rPr>
        <w:t xml:space="preserve"> materia completamente ajena a tal fenómeno.</w:t>
      </w:r>
    </w:p>
    <w:p w14:paraId="68B1D77B" w14:textId="77777777" w:rsidR="008E1676" w:rsidRPr="00ED133C" w:rsidRDefault="008E1676" w:rsidP="00E35BD4">
      <w:pPr>
        <w:spacing w:line="276" w:lineRule="auto"/>
        <w:rPr>
          <w:rFonts w:ascii="Arial" w:eastAsia="Calibri" w:hAnsi="Arial" w:cs="Arial"/>
          <w:szCs w:val="28"/>
          <w:lang w:eastAsia="en-US"/>
        </w:rPr>
      </w:pPr>
    </w:p>
    <w:p w14:paraId="6FC93BD7" w14:textId="4F0C6C01" w:rsidR="00EA035D" w:rsidRPr="00D27043" w:rsidRDefault="00EA035D" w:rsidP="00E35BD4">
      <w:pPr>
        <w:spacing w:line="276" w:lineRule="auto"/>
        <w:rPr>
          <w:rFonts w:ascii="Arial" w:eastAsia="Calibri" w:hAnsi="Arial" w:cs="Arial"/>
          <w:b/>
          <w:szCs w:val="28"/>
          <w:lang w:eastAsia="en-US"/>
        </w:rPr>
      </w:pPr>
      <w:r w:rsidRPr="00D27043">
        <w:rPr>
          <w:rFonts w:ascii="Arial" w:eastAsia="Calibri" w:hAnsi="Arial" w:cs="Arial"/>
          <w:b/>
          <w:szCs w:val="28"/>
          <w:lang w:eastAsia="en-US"/>
        </w:rPr>
        <w:t xml:space="preserve">8. </w:t>
      </w:r>
      <w:r w:rsidR="006822F9" w:rsidRPr="00D27043">
        <w:rPr>
          <w:rFonts w:ascii="Arial" w:eastAsia="Calibri" w:hAnsi="Arial" w:cs="Arial"/>
          <w:b/>
          <w:szCs w:val="28"/>
          <w:u w:val="single"/>
          <w:lang w:eastAsia="en-US"/>
        </w:rPr>
        <w:t>IMPACTO EN MATERIA DE IGUALDAD OPORTUNIDADES, NO DISCRIMINACIÓN Y ACCESIBILIDAD UNIVERSAL DE LAS PERSONAS CON DISCAPACIDAD</w:t>
      </w:r>
      <w:r w:rsidR="00D27043">
        <w:rPr>
          <w:rFonts w:ascii="Arial" w:eastAsia="Calibri" w:hAnsi="Arial" w:cs="Arial"/>
          <w:b/>
          <w:szCs w:val="28"/>
          <w:u w:val="single"/>
          <w:lang w:eastAsia="en-US"/>
        </w:rPr>
        <w:t>.</w:t>
      </w:r>
    </w:p>
    <w:p w14:paraId="0805FA3F" w14:textId="4AED9017" w:rsidR="004F0DFB" w:rsidRDefault="00D8571F" w:rsidP="00E35BD4">
      <w:pPr>
        <w:spacing w:line="276" w:lineRule="auto"/>
        <w:rPr>
          <w:rFonts w:ascii="Arial" w:eastAsia="Calibri" w:hAnsi="Arial" w:cs="Arial"/>
          <w:szCs w:val="28"/>
          <w:lang w:eastAsia="en-US"/>
        </w:rPr>
      </w:pPr>
      <w:r w:rsidRPr="00ED133C">
        <w:rPr>
          <w:rFonts w:ascii="Arial" w:eastAsia="Calibri" w:hAnsi="Arial" w:cs="Arial"/>
          <w:szCs w:val="28"/>
          <w:lang w:eastAsia="en-US"/>
        </w:rPr>
        <w:t>Respecto del impacto</w:t>
      </w:r>
      <w:r w:rsidRPr="00ED133C">
        <w:rPr>
          <w:rFonts w:ascii="Arial" w:hAnsi="Arial" w:cs="Arial"/>
          <w:szCs w:val="28"/>
        </w:rPr>
        <w:t xml:space="preserve"> </w:t>
      </w:r>
      <w:r w:rsidRPr="00ED133C">
        <w:rPr>
          <w:rFonts w:ascii="Arial" w:eastAsia="Calibri" w:hAnsi="Arial" w:cs="Arial"/>
          <w:szCs w:val="28"/>
          <w:lang w:eastAsia="en-US"/>
        </w:rPr>
        <w:t xml:space="preserve">en materia de igualdad de oportunidades, no discriminación y accesibilidad universal de las personas con discapacidad, al que se refiere el artículo 2.1.g) del Real Decreto 931/2017, de 27 de octubre, se </w:t>
      </w:r>
      <w:r w:rsidRPr="00ED133C">
        <w:rPr>
          <w:rFonts w:ascii="Arial" w:eastAsia="Calibri" w:hAnsi="Arial" w:cs="Arial"/>
          <w:szCs w:val="28"/>
          <w:lang w:eastAsia="en-US"/>
        </w:rPr>
        <w:lastRenderedPageBreak/>
        <w:t>indica que e</w:t>
      </w:r>
      <w:r w:rsidR="00EA035D" w:rsidRPr="00ED133C">
        <w:rPr>
          <w:rFonts w:ascii="Arial" w:eastAsia="Calibri" w:hAnsi="Arial" w:cs="Arial"/>
          <w:szCs w:val="28"/>
          <w:lang w:eastAsia="en-US"/>
        </w:rPr>
        <w:t xml:space="preserve">l real decreto tendrá un efecto positivo en materia de igualdad oportunidades, no discriminación y accesibilidad universal de las personas con discapacidad, pues sus efectos son especialmente relevantes en relación con este colectivo de personas en situación de vulnerabilidad, que reciben retribuciones </w:t>
      </w:r>
      <w:r w:rsidR="006822F9" w:rsidRPr="00ED133C">
        <w:rPr>
          <w:rFonts w:ascii="Arial" w:eastAsia="Calibri" w:hAnsi="Arial" w:cs="Arial"/>
          <w:szCs w:val="28"/>
          <w:lang w:eastAsia="en-US"/>
        </w:rPr>
        <w:t xml:space="preserve">por su trabajo </w:t>
      </w:r>
      <w:r w:rsidR="00EA035D" w:rsidRPr="00ED133C">
        <w:rPr>
          <w:rFonts w:ascii="Arial" w:eastAsia="Calibri" w:hAnsi="Arial" w:cs="Arial"/>
          <w:szCs w:val="28"/>
          <w:lang w:eastAsia="en-US"/>
        </w:rPr>
        <w:t>relativamente más bajas. Por tanto, el salario mínimo tendrá un impacto más relevante en relación con estas personas, en comparación con la población general</w:t>
      </w:r>
      <w:r w:rsidR="006822F9" w:rsidRPr="00ED133C">
        <w:rPr>
          <w:rFonts w:ascii="Arial" w:eastAsia="Calibri" w:hAnsi="Arial" w:cs="Arial"/>
          <w:szCs w:val="28"/>
          <w:lang w:eastAsia="en-US"/>
        </w:rPr>
        <w:t>, contribuyendo a su protección y a su igualdad de oportunidades.</w:t>
      </w:r>
    </w:p>
    <w:p w14:paraId="026F4E63" w14:textId="77777777" w:rsidR="00BB6F56" w:rsidRPr="00ED133C" w:rsidRDefault="00BB6F56" w:rsidP="00E35BD4">
      <w:pPr>
        <w:spacing w:line="276" w:lineRule="auto"/>
        <w:rPr>
          <w:rFonts w:ascii="Arial" w:eastAsia="Calibri" w:hAnsi="Arial" w:cs="Arial"/>
          <w:szCs w:val="28"/>
          <w:lang w:eastAsia="en-US"/>
        </w:rPr>
      </w:pPr>
    </w:p>
    <w:p w14:paraId="685E0592" w14:textId="2A983383" w:rsidR="00797D80" w:rsidRPr="00ED133C" w:rsidRDefault="00797D80" w:rsidP="00E35BD4">
      <w:pPr>
        <w:spacing w:line="276" w:lineRule="auto"/>
        <w:rPr>
          <w:rFonts w:ascii="Arial" w:eastAsia="Calibri" w:hAnsi="Arial" w:cs="Arial"/>
          <w:b/>
          <w:szCs w:val="28"/>
          <w:lang w:eastAsia="en-US"/>
        </w:rPr>
      </w:pPr>
      <w:r w:rsidRPr="00ED133C">
        <w:rPr>
          <w:rFonts w:ascii="Arial" w:eastAsia="Calibri" w:hAnsi="Arial" w:cs="Arial"/>
          <w:b/>
          <w:szCs w:val="28"/>
          <w:lang w:eastAsia="en-US"/>
        </w:rPr>
        <w:t>V</w:t>
      </w:r>
      <w:r w:rsidR="00946F7E" w:rsidRPr="00ED133C">
        <w:rPr>
          <w:rFonts w:ascii="Arial" w:eastAsia="Calibri" w:hAnsi="Arial" w:cs="Arial"/>
          <w:b/>
          <w:szCs w:val="28"/>
          <w:lang w:eastAsia="en-US"/>
        </w:rPr>
        <w:t>I</w:t>
      </w:r>
      <w:r w:rsidR="00591EBC" w:rsidRPr="00ED133C">
        <w:rPr>
          <w:rFonts w:ascii="Arial" w:eastAsia="Calibri" w:hAnsi="Arial" w:cs="Arial"/>
          <w:b/>
          <w:szCs w:val="28"/>
          <w:lang w:eastAsia="en-US"/>
        </w:rPr>
        <w:t>I</w:t>
      </w:r>
      <w:r w:rsidRPr="00ED133C">
        <w:rPr>
          <w:rFonts w:ascii="Arial" w:eastAsia="Calibri" w:hAnsi="Arial" w:cs="Arial"/>
          <w:b/>
          <w:szCs w:val="28"/>
          <w:lang w:eastAsia="en-US"/>
        </w:rPr>
        <w:t xml:space="preserve">. </w:t>
      </w:r>
      <w:r w:rsidRPr="00ED133C">
        <w:rPr>
          <w:rFonts w:ascii="Arial" w:eastAsia="Calibri" w:hAnsi="Arial" w:cs="Arial"/>
          <w:b/>
          <w:szCs w:val="28"/>
          <w:u w:val="single"/>
          <w:lang w:eastAsia="en-US"/>
        </w:rPr>
        <w:t xml:space="preserve">EVALUACIÓN </w:t>
      </w:r>
      <w:r w:rsidRPr="00D27043">
        <w:rPr>
          <w:rFonts w:ascii="Arial" w:eastAsia="Calibri" w:hAnsi="Arial" w:cs="Arial"/>
          <w:b/>
          <w:i/>
          <w:szCs w:val="28"/>
          <w:u w:val="single"/>
          <w:lang w:eastAsia="en-US"/>
        </w:rPr>
        <w:t>EX POST</w:t>
      </w:r>
      <w:r w:rsidR="00D27043">
        <w:rPr>
          <w:rFonts w:ascii="Arial" w:eastAsia="Calibri" w:hAnsi="Arial" w:cs="Arial"/>
          <w:b/>
          <w:szCs w:val="28"/>
          <w:u w:val="single"/>
          <w:lang w:eastAsia="en-US"/>
        </w:rPr>
        <w:t>.</w:t>
      </w:r>
    </w:p>
    <w:p w14:paraId="7A08A533" w14:textId="1356440E" w:rsidR="00E15034" w:rsidRPr="00ED133C" w:rsidRDefault="00797D80" w:rsidP="007774D8">
      <w:pPr>
        <w:spacing w:line="276" w:lineRule="auto"/>
        <w:rPr>
          <w:rFonts w:ascii="Arial" w:eastAsia="Calibri" w:hAnsi="Arial" w:cs="Arial"/>
          <w:szCs w:val="28"/>
          <w:lang w:eastAsia="en-US"/>
        </w:rPr>
      </w:pPr>
      <w:r w:rsidRPr="00ED133C">
        <w:rPr>
          <w:rFonts w:ascii="Arial" w:eastAsia="Calibri" w:hAnsi="Arial" w:cs="Arial"/>
          <w:szCs w:val="28"/>
          <w:lang w:eastAsia="en-US"/>
        </w:rPr>
        <w:t>Una vez considerado lo dispuesto en el artículo 28.2 de la Ley</w:t>
      </w:r>
      <w:r w:rsidR="00424D1C" w:rsidRPr="00ED133C">
        <w:rPr>
          <w:rFonts w:ascii="Arial" w:eastAsia="Calibri" w:hAnsi="Arial" w:cs="Arial"/>
          <w:szCs w:val="28"/>
          <w:lang w:eastAsia="en-US"/>
        </w:rPr>
        <w:t xml:space="preserve"> 50/1997, de 27</w:t>
      </w:r>
      <w:r w:rsidR="007774D8">
        <w:rPr>
          <w:rFonts w:ascii="Arial" w:eastAsia="Calibri" w:hAnsi="Arial" w:cs="Arial"/>
          <w:szCs w:val="28"/>
          <w:lang w:eastAsia="en-US"/>
        </w:rPr>
        <w:t xml:space="preserve"> </w:t>
      </w:r>
      <w:r w:rsidR="00424D1C" w:rsidRPr="00ED133C">
        <w:rPr>
          <w:rFonts w:ascii="Arial" w:eastAsia="Calibri" w:hAnsi="Arial" w:cs="Arial"/>
          <w:szCs w:val="28"/>
          <w:lang w:eastAsia="en-US"/>
        </w:rPr>
        <w:t xml:space="preserve">de noviembre, </w:t>
      </w:r>
      <w:r w:rsidRPr="00ED133C">
        <w:rPr>
          <w:rFonts w:ascii="Arial" w:eastAsia="Calibri" w:hAnsi="Arial" w:cs="Arial"/>
          <w:szCs w:val="28"/>
          <w:lang w:eastAsia="en-US"/>
        </w:rPr>
        <w:t>del Gobierno, y en el artículo 3 del Real Decreto 286/2017, de 24</w:t>
      </w:r>
      <w:r w:rsidR="007774D8">
        <w:rPr>
          <w:rFonts w:ascii="Arial" w:eastAsia="Calibri" w:hAnsi="Arial" w:cs="Arial"/>
          <w:szCs w:val="28"/>
          <w:lang w:eastAsia="en-US"/>
        </w:rPr>
        <w:t xml:space="preserve"> </w:t>
      </w:r>
      <w:r w:rsidRPr="00ED133C">
        <w:rPr>
          <w:rFonts w:ascii="Arial" w:eastAsia="Calibri" w:hAnsi="Arial" w:cs="Arial"/>
          <w:szCs w:val="28"/>
          <w:lang w:eastAsia="en-US"/>
        </w:rPr>
        <w:t>de marzo, por el que se regulan el Plan Anual Normativo y el Informe Anual de</w:t>
      </w:r>
      <w:r w:rsidR="007774D8">
        <w:rPr>
          <w:rFonts w:ascii="Arial" w:eastAsia="Calibri" w:hAnsi="Arial" w:cs="Arial"/>
          <w:szCs w:val="28"/>
          <w:lang w:eastAsia="en-US"/>
        </w:rPr>
        <w:t xml:space="preserve"> </w:t>
      </w:r>
      <w:r w:rsidRPr="00ED133C">
        <w:rPr>
          <w:rFonts w:ascii="Arial" w:eastAsia="Calibri" w:hAnsi="Arial" w:cs="Arial"/>
          <w:szCs w:val="28"/>
          <w:lang w:eastAsia="en-US"/>
        </w:rPr>
        <w:t>Evaluación Normativa de la Administración General del Estado y se crea la Junta</w:t>
      </w:r>
      <w:r w:rsidR="007774D8">
        <w:rPr>
          <w:rFonts w:ascii="Arial" w:eastAsia="Calibri" w:hAnsi="Arial" w:cs="Arial"/>
          <w:szCs w:val="28"/>
          <w:lang w:eastAsia="en-US"/>
        </w:rPr>
        <w:t xml:space="preserve"> </w:t>
      </w:r>
      <w:r w:rsidRPr="00ED133C">
        <w:rPr>
          <w:rFonts w:ascii="Arial" w:eastAsia="Calibri" w:hAnsi="Arial" w:cs="Arial"/>
          <w:szCs w:val="28"/>
          <w:lang w:eastAsia="en-US"/>
        </w:rPr>
        <w:t>de Planificación y Evaluación Normativa, por la naturaleza y contenido de la</w:t>
      </w:r>
      <w:r w:rsidR="007774D8">
        <w:rPr>
          <w:rFonts w:ascii="Arial" w:eastAsia="Calibri" w:hAnsi="Arial" w:cs="Arial"/>
          <w:szCs w:val="28"/>
          <w:lang w:eastAsia="en-US"/>
        </w:rPr>
        <w:t xml:space="preserve"> </w:t>
      </w:r>
      <w:r w:rsidRPr="00ED133C">
        <w:rPr>
          <w:rFonts w:ascii="Arial" w:eastAsia="Calibri" w:hAnsi="Arial" w:cs="Arial"/>
          <w:szCs w:val="28"/>
          <w:lang w:eastAsia="en-US"/>
        </w:rPr>
        <w:t>norma, se considera que</w:t>
      </w:r>
      <w:r w:rsidR="006822F9" w:rsidRPr="00ED133C">
        <w:rPr>
          <w:rFonts w:ascii="Arial" w:eastAsia="Calibri" w:hAnsi="Arial" w:cs="Arial"/>
          <w:szCs w:val="28"/>
          <w:lang w:eastAsia="en-US"/>
        </w:rPr>
        <w:t>, de acuerdo con el Plan Anual Normativo de la</w:t>
      </w:r>
      <w:r w:rsidR="007774D8">
        <w:rPr>
          <w:rFonts w:ascii="Arial" w:eastAsia="Calibri" w:hAnsi="Arial" w:cs="Arial"/>
          <w:szCs w:val="28"/>
          <w:lang w:eastAsia="en-US"/>
        </w:rPr>
        <w:t xml:space="preserve"> </w:t>
      </w:r>
      <w:r w:rsidR="006822F9" w:rsidRPr="00ED133C">
        <w:rPr>
          <w:rFonts w:ascii="Arial" w:eastAsia="Calibri" w:hAnsi="Arial" w:cs="Arial"/>
          <w:szCs w:val="28"/>
          <w:lang w:eastAsia="en-US"/>
        </w:rPr>
        <w:t>Administración General del Estado para 202</w:t>
      </w:r>
      <w:r w:rsidR="00746E82">
        <w:rPr>
          <w:rFonts w:ascii="Arial" w:eastAsia="Calibri" w:hAnsi="Arial" w:cs="Arial"/>
          <w:szCs w:val="28"/>
          <w:lang w:eastAsia="en-US"/>
        </w:rPr>
        <w:t>3</w:t>
      </w:r>
      <w:r w:rsidR="006822F9" w:rsidRPr="00ED133C">
        <w:rPr>
          <w:rFonts w:ascii="Arial" w:eastAsia="Calibri" w:hAnsi="Arial" w:cs="Arial"/>
          <w:szCs w:val="28"/>
          <w:lang w:eastAsia="en-US"/>
        </w:rPr>
        <w:t>, y teniendo siempre en cuenta que</w:t>
      </w:r>
      <w:r w:rsidR="007774D8">
        <w:rPr>
          <w:rFonts w:ascii="Arial" w:eastAsia="Calibri" w:hAnsi="Arial" w:cs="Arial"/>
          <w:szCs w:val="28"/>
          <w:lang w:eastAsia="en-US"/>
        </w:rPr>
        <w:t xml:space="preserve"> </w:t>
      </w:r>
      <w:r w:rsidR="006822F9" w:rsidRPr="00ED133C">
        <w:rPr>
          <w:rFonts w:ascii="Arial" w:eastAsia="Calibri" w:hAnsi="Arial" w:cs="Arial"/>
          <w:szCs w:val="28"/>
          <w:lang w:eastAsia="en-US"/>
        </w:rPr>
        <w:t>el contenido verdaderamente innovado por este tipo de reales decretos no tiene</w:t>
      </w:r>
      <w:r w:rsidR="007774D8">
        <w:rPr>
          <w:rFonts w:ascii="Arial" w:eastAsia="Calibri" w:hAnsi="Arial" w:cs="Arial"/>
          <w:szCs w:val="28"/>
          <w:lang w:eastAsia="en-US"/>
        </w:rPr>
        <w:t xml:space="preserve"> </w:t>
      </w:r>
      <w:r w:rsidR="006822F9" w:rsidRPr="00ED133C">
        <w:rPr>
          <w:rFonts w:ascii="Arial" w:eastAsia="Calibri" w:hAnsi="Arial" w:cs="Arial"/>
          <w:szCs w:val="28"/>
          <w:lang w:eastAsia="en-US"/>
        </w:rPr>
        <w:t>naturaleza normativa, como se ha razonado en esta memoria, se concluye que</w:t>
      </w:r>
      <w:r w:rsidR="007774D8">
        <w:rPr>
          <w:rFonts w:ascii="Arial" w:eastAsia="Calibri" w:hAnsi="Arial" w:cs="Arial"/>
          <w:szCs w:val="28"/>
          <w:lang w:eastAsia="en-US"/>
        </w:rPr>
        <w:t xml:space="preserve"> </w:t>
      </w:r>
      <w:r w:rsidR="006822F9" w:rsidRPr="00ED133C">
        <w:rPr>
          <w:rFonts w:ascii="Arial" w:eastAsia="Calibri" w:hAnsi="Arial" w:cs="Arial"/>
          <w:szCs w:val="28"/>
          <w:lang w:eastAsia="en-US"/>
        </w:rPr>
        <w:t>este real decreto</w:t>
      </w:r>
      <w:r w:rsidRPr="00ED133C">
        <w:rPr>
          <w:rFonts w:ascii="Arial" w:eastAsia="Calibri" w:hAnsi="Arial" w:cs="Arial"/>
          <w:szCs w:val="28"/>
          <w:lang w:eastAsia="en-US"/>
        </w:rPr>
        <w:t xml:space="preserve"> </w:t>
      </w:r>
      <w:r w:rsidR="006822F9" w:rsidRPr="00ED133C">
        <w:rPr>
          <w:rFonts w:ascii="Arial" w:eastAsia="Calibri" w:hAnsi="Arial" w:cs="Arial"/>
          <w:szCs w:val="28"/>
          <w:lang w:eastAsia="en-US"/>
        </w:rPr>
        <w:t>solo puede evaluarse en el marco específico que rige este tipo</w:t>
      </w:r>
      <w:r w:rsidR="007774D8">
        <w:rPr>
          <w:rFonts w:ascii="Arial" w:eastAsia="Calibri" w:hAnsi="Arial" w:cs="Arial"/>
          <w:szCs w:val="28"/>
          <w:lang w:eastAsia="en-US"/>
        </w:rPr>
        <w:t xml:space="preserve"> </w:t>
      </w:r>
      <w:r w:rsidR="006822F9" w:rsidRPr="00ED133C">
        <w:rPr>
          <w:rFonts w:ascii="Arial" w:eastAsia="Calibri" w:hAnsi="Arial" w:cs="Arial"/>
          <w:szCs w:val="28"/>
          <w:lang w:eastAsia="en-US"/>
        </w:rPr>
        <w:t>de instrumentos. Así, será en el contexto de la fijación del salario mínimo</w:t>
      </w:r>
      <w:r w:rsidR="007774D8">
        <w:rPr>
          <w:rFonts w:ascii="Arial" w:eastAsia="Calibri" w:hAnsi="Arial" w:cs="Arial"/>
          <w:szCs w:val="28"/>
          <w:lang w:eastAsia="en-US"/>
        </w:rPr>
        <w:t xml:space="preserve"> </w:t>
      </w:r>
      <w:r w:rsidR="00CE592D" w:rsidRPr="00ED133C">
        <w:rPr>
          <w:rFonts w:ascii="Arial" w:eastAsia="Calibri" w:hAnsi="Arial" w:cs="Arial"/>
          <w:szCs w:val="28"/>
          <w:lang w:eastAsia="en-US"/>
        </w:rPr>
        <w:t xml:space="preserve">interprofesional </w:t>
      </w:r>
      <w:r w:rsidR="006822F9" w:rsidRPr="00ED133C">
        <w:rPr>
          <w:rFonts w:ascii="Arial" w:eastAsia="Calibri" w:hAnsi="Arial" w:cs="Arial"/>
          <w:szCs w:val="28"/>
          <w:lang w:eastAsia="en-US"/>
        </w:rPr>
        <w:t>para 202</w:t>
      </w:r>
      <w:r w:rsidR="00746E82">
        <w:rPr>
          <w:rFonts w:ascii="Arial" w:eastAsia="Calibri" w:hAnsi="Arial" w:cs="Arial"/>
          <w:szCs w:val="28"/>
          <w:lang w:eastAsia="en-US"/>
        </w:rPr>
        <w:t>4</w:t>
      </w:r>
      <w:r w:rsidR="006822F9" w:rsidRPr="00ED133C">
        <w:rPr>
          <w:rFonts w:ascii="Arial" w:eastAsia="Calibri" w:hAnsi="Arial" w:cs="Arial"/>
          <w:szCs w:val="28"/>
          <w:lang w:eastAsia="en-US"/>
        </w:rPr>
        <w:t xml:space="preserve"> en el que se proceda a la evaluación de los efectos</w:t>
      </w:r>
      <w:r w:rsidR="007774D8">
        <w:rPr>
          <w:rFonts w:ascii="Arial" w:eastAsia="Calibri" w:hAnsi="Arial" w:cs="Arial"/>
          <w:szCs w:val="28"/>
          <w:lang w:eastAsia="en-US"/>
        </w:rPr>
        <w:t xml:space="preserve"> </w:t>
      </w:r>
      <w:r w:rsidR="006822F9" w:rsidRPr="00ED133C">
        <w:rPr>
          <w:rFonts w:ascii="Arial" w:eastAsia="Calibri" w:hAnsi="Arial" w:cs="Arial"/>
          <w:szCs w:val="28"/>
          <w:lang w:eastAsia="en-US"/>
        </w:rPr>
        <w:t>de este real decreto, de conformidad con lo señalado en el artículo 27.1 del</w:t>
      </w:r>
      <w:r w:rsidR="007774D8">
        <w:rPr>
          <w:rFonts w:ascii="Arial" w:eastAsia="Calibri" w:hAnsi="Arial" w:cs="Arial"/>
          <w:szCs w:val="28"/>
          <w:lang w:eastAsia="en-US"/>
        </w:rPr>
        <w:t xml:space="preserve"> </w:t>
      </w:r>
      <w:r w:rsidR="006822F9" w:rsidRPr="00ED133C">
        <w:rPr>
          <w:rFonts w:ascii="Arial" w:eastAsia="Calibri" w:hAnsi="Arial" w:cs="Arial"/>
          <w:szCs w:val="28"/>
          <w:lang w:eastAsia="en-US"/>
        </w:rPr>
        <w:t>Estatuto de los Trabajadores.</w:t>
      </w:r>
    </w:p>
    <w:sectPr w:rsidR="00E15034" w:rsidRPr="00ED133C" w:rsidSect="00762251">
      <w:headerReference w:type="even" r:id="rId27"/>
      <w:headerReference w:type="default" r:id="rId28"/>
      <w:footerReference w:type="even" r:id="rId29"/>
      <w:footerReference w:type="default" r:id="rId30"/>
      <w:headerReference w:type="first" r:id="rId31"/>
      <w:pgSz w:w="11906" w:h="16838"/>
      <w:pgMar w:top="1021" w:right="1021" w:bottom="1021"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0B092" w14:textId="77777777" w:rsidR="00C05533" w:rsidRDefault="00C05533">
      <w:r>
        <w:separator/>
      </w:r>
    </w:p>
  </w:endnote>
  <w:endnote w:type="continuationSeparator" w:id="0">
    <w:p w14:paraId="1543081B" w14:textId="77777777" w:rsidR="00C05533" w:rsidRDefault="00C0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odoni SvtyTwo OS ITC TT-Book">
    <w:altName w:val="Courier New"/>
    <w:charset w:val="00"/>
    <w:family w:val="auto"/>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888E" w14:textId="77777777" w:rsidR="00C05533" w:rsidRPr="005643CA" w:rsidRDefault="00C05533" w:rsidP="00FE25E3">
    <w:pPr>
      <w:pStyle w:val="Piedepgina"/>
      <w:framePr w:wrap="around" w:vAnchor="text" w:hAnchor="margin" w:xAlign="center" w:y="1"/>
      <w:rPr>
        <w:rStyle w:val="Nmerodepgina"/>
        <w:rFonts w:ascii="Arial" w:hAnsi="Arial" w:cs="Arial"/>
        <w:sz w:val="22"/>
        <w:szCs w:val="22"/>
      </w:rPr>
    </w:pPr>
    <w:r w:rsidRPr="005643CA">
      <w:rPr>
        <w:rStyle w:val="Nmerodepgina"/>
        <w:rFonts w:ascii="Arial" w:hAnsi="Arial" w:cs="Arial"/>
        <w:sz w:val="22"/>
        <w:szCs w:val="22"/>
      </w:rPr>
      <w:fldChar w:fldCharType="begin"/>
    </w:r>
    <w:r w:rsidRPr="005643CA">
      <w:rPr>
        <w:rStyle w:val="Nmerodepgina"/>
        <w:rFonts w:ascii="Arial" w:hAnsi="Arial" w:cs="Arial"/>
        <w:sz w:val="22"/>
        <w:szCs w:val="22"/>
      </w:rPr>
      <w:instrText xml:space="preserve">PAGE  </w:instrText>
    </w:r>
    <w:r w:rsidRPr="005643CA">
      <w:rPr>
        <w:rStyle w:val="Nmerodepgina"/>
        <w:rFonts w:ascii="Arial" w:hAnsi="Arial" w:cs="Arial"/>
        <w:sz w:val="22"/>
        <w:szCs w:val="22"/>
      </w:rPr>
      <w:fldChar w:fldCharType="separate"/>
    </w:r>
    <w:r>
      <w:rPr>
        <w:rStyle w:val="Nmerodepgina"/>
        <w:rFonts w:ascii="Arial" w:hAnsi="Arial" w:cs="Arial"/>
        <w:noProof/>
        <w:sz w:val="22"/>
        <w:szCs w:val="22"/>
      </w:rPr>
      <w:t>5</w:t>
    </w:r>
    <w:r w:rsidRPr="005643CA">
      <w:rPr>
        <w:rStyle w:val="Nmerodepgina"/>
        <w:rFonts w:ascii="Arial" w:hAnsi="Arial" w:cs="Arial"/>
        <w:sz w:val="22"/>
        <w:szCs w:val="22"/>
      </w:rPr>
      <w:fldChar w:fldCharType="end"/>
    </w:r>
  </w:p>
  <w:p w14:paraId="65B77F28" w14:textId="77777777" w:rsidR="00C05533" w:rsidRDefault="00C05533" w:rsidP="001467E6">
    <w:pPr>
      <w:pStyle w:val="Piedepgina"/>
      <w:tabs>
        <w:tab w:val="clear" w:pos="4252"/>
        <w:tab w:val="clear" w:pos="8504"/>
        <w:tab w:val="left" w:pos="1430"/>
      </w:tabs>
      <w:ind w:right="36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E2EBB" w14:textId="77777777" w:rsidR="00C05533" w:rsidRDefault="00C05533" w:rsidP="008C3AF5">
    <w:pPr>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5838BE2" w14:textId="77777777" w:rsidR="00C05533" w:rsidRDefault="00C055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3B9C4" w14:textId="77777777" w:rsidR="00C05533" w:rsidRPr="00033FBD" w:rsidRDefault="00C05533" w:rsidP="008C3AF5">
    <w:pPr>
      <w:pStyle w:val="Piedepgina"/>
      <w:framePr w:wrap="around" w:vAnchor="text" w:hAnchor="margin" w:xAlign="center" w:y="1"/>
      <w:rPr>
        <w:rStyle w:val="Nmerodepgina"/>
        <w:rFonts w:ascii="Arial" w:hAnsi="Arial" w:cs="Arial"/>
        <w:sz w:val="22"/>
      </w:rPr>
    </w:pPr>
    <w:r w:rsidRPr="00033FBD">
      <w:rPr>
        <w:rStyle w:val="Nmerodepgina"/>
        <w:rFonts w:ascii="Arial" w:hAnsi="Arial" w:cs="Arial"/>
        <w:sz w:val="22"/>
      </w:rPr>
      <w:fldChar w:fldCharType="begin"/>
    </w:r>
    <w:r w:rsidRPr="00033FBD">
      <w:rPr>
        <w:rStyle w:val="Nmerodepgina"/>
        <w:rFonts w:ascii="Arial" w:hAnsi="Arial" w:cs="Arial"/>
        <w:sz w:val="22"/>
      </w:rPr>
      <w:instrText xml:space="preserve">PAGE  </w:instrText>
    </w:r>
    <w:r w:rsidRPr="00033FBD">
      <w:rPr>
        <w:rStyle w:val="Nmerodepgina"/>
        <w:rFonts w:ascii="Arial" w:hAnsi="Arial" w:cs="Arial"/>
        <w:sz w:val="22"/>
      </w:rPr>
      <w:fldChar w:fldCharType="separate"/>
    </w:r>
    <w:r w:rsidRPr="00033FBD">
      <w:rPr>
        <w:rStyle w:val="Nmerodepgina"/>
        <w:rFonts w:ascii="Arial" w:hAnsi="Arial" w:cs="Arial"/>
        <w:noProof/>
        <w:sz w:val="22"/>
      </w:rPr>
      <w:t>11</w:t>
    </w:r>
    <w:r w:rsidRPr="00033FBD">
      <w:rPr>
        <w:rStyle w:val="Nmerodepgina"/>
        <w:rFonts w:ascii="Arial" w:hAnsi="Arial" w:cs="Arial"/>
        <w:sz w:val="22"/>
      </w:rPr>
      <w:fldChar w:fldCharType="end"/>
    </w:r>
  </w:p>
  <w:p w14:paraId="559A7DB3" w14:textId="77777777" w:rsidR="00C05533" w:rsidRDefault="00C05533" w:rsidP="001252D9">
    <w:pPr>
      <w:pStyle w:val="Encabezado"/>
      <w:tabs>
        <w:tab w:val="clear" w:pos="4419"/>
        <w:tab w:val="clear" w:pos="88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B4250" w14:textId="77777777" w:rsidR="00C05533" w:rsidRDefault="00C05533">
      <w:r>
        <w:separator/>
      </w:r>
    </w:p>
  </w:footnote>
  <w:footnote w:type="continuationSeparator" w:id="0">
    <w:p w14:paraId="149978D0" w14:textId="77777777" w:rsidR="00C05533" w:rsidRDefault="00C05533">
      <w:r>
        <w:continuationSeparator/>
      </w:r>
    </w:p>
  </w:footnote>
  <w:footnote w:id="1">
    <w:p w14:paraId="6CF89799" w14:textId="77777777" w:rsidR="00C05533" w:rsidRPr="007C5E61" w:rsidRDefault="00C05533" w:rsidP="007C5E61">
      <w:pPr>
        <w:pStyle w:val="Textonotapie"/>
        <w:jc w:val="both"/>
        <w:rPr>
          <w:rFonts w:ascii="Arial" w:hAnsi="Arial" w:cs="Arial"/>
        </w:rPr>
      </w:pPr>
      <w:r w:rsidRPr="007C5E61">
        <w:rPr>
          <w:rStyle w:val="Refdenotaalpie"/>
          <w:rFonts w:ascii="Arial" w:hAnsi="Arial" w:cs="Arial"/>
        </w:rPr>
        <w:footnoteRef/>
      </w:r>
      <w:r w:rsidRPr="007C5E61">
        <w:rPr>
          <w:rFonts w:ascii="Arial" w:hAnsi="Arial" w:cs="Arial"/>
        </w:rPr>
        <w:t xml:space="preserve"> STS 4523 y 4524/2015, respectivamente, Sala de lo Contencioso Administrativo. Ambas de 29 de octubre de 2015.</w:t>
      </w:r>
    </w:p>
  </w:footnote>
  <w:footnote w:id="2">
    <w:p w14:paraId="7D528EA5" w14:textId="77777777" w:rsidR="00C05533" w:rsidRPr="00CA0C07" w:rsidRDefault="00C05533" w:rsidP="00C05533">
      <w:pPr>
        <w:pStyle w:val="Textonotapie"/>
        <w:jc w:val="both"/>
        <w:rPr>
          <w:rFonts w:ascii="Arial" w:hAnsi="Arial" w:cs="Arial"/>
          <w:sz w:val="24"/>
          <w:szCs w:val="24"/>
        </w:rPr>
      </w:pPr>
      <w:r w:rsidRPr="00CA0C07">
        <w:rPr>
          <w:rStyle w:val="Refdenotaalpie"/>
          <w:rFonts w:ascii="Arial" w:hAnsi="Arial" w:cs="Arial"/>
          <w:sz w:val="24"/>
          <w:szCs w:val="24"/>
        </w:rPr>
        <w:footnoteRef/>
      </w:r>
      <w:r w:rsidRPr="00CA0C07">
        <w:rPr>
          <w:rFonts w:ascii="Arial" w:hAnsi="Arial" w:cs="Arial"/>
          <w:sz w:val="24"/>
          <w:szCs w:val="24"/>
        </w:rPr>
        <w:t xml:space="preserve"> </w:t>
      </w:r>
      <w:hyperlink r:id="rId1" w:history="1">
        <w:r w:rsidRPr="00CA0C07">
          <w:rPr>
            <w:rStyle w:val="Hipervnculo"/>
            <w:rFonts w:ascii="Arial" w:hAnsi="Arial" w:cs="Arial"/>
            <w:sz w:val="24"/>
            <w:szCs w:val="24"/>
          </w:rPr>
          <w:t>https://www.boe.es/buscar/pdf/2015/BOE-A-2015-11430-consolidado.pdf</w:t>
        </w:r>
      </w:hyperlink>
    </w:p>
  </w:footnote>
  <w:footnote w:id="3">
    <w:p w14:paraId="63373E29" w14:textId="77777777" w:rsidR="00C05533" w:rsidRDefault="00C05533" w:rsidP="00C05533">
      <w:pPr>
        <w:pStyle w:val="Textonotapie"/>
        <w:jc w:val="both"/>
      </w:pPr>
      <w:r w:rsidRPr="00CA0C07">
        <w:rPr>
          <w:rStyle w:val="Refdenotaalpie"/>
          <w:rFonts w:ascii="Arial" w:hAnsi="Arial" w:cs="Arial"/>
          <w:sz w:val="24"/>
          <w:szCs w:val="24"/>
        </w:rPr>
        <w:footnoteRef/>
      </w:r>
      <w:r w:rsidRPr="00CA0C07">
        <w:rPr>
          <w:rFonts w:ascii="Arial" w:hAnsi="Arial" w:cs="Arial"/>
          <w:sz w:val="24"/>
          <w:szCs w:val="24"/>
        </w:rPr>
        <w:t xml:space="preserve"> </w:t>
      </w:r>
      <w:hyperlink r:id="rId2" w:history="1">
        <w:r w:rsidRPr="00CA0C07">
          <w:rPr>
            <w:rStyle w:val="Hipervnculo"/>
            <w:rFonts w:ascii="Arial" w:hAnsi="Arial" w:cs="Arial"/>
            <w:sz w:val="24"/>
            <w:szCs w:val="24"/>
          </w:rPr>
          <w:t>https://s03.s3c.es/imag/doc/2021-06-18/Informe_comision_asesora_smi.pdf</w:t>
        </w:r>
      </w:hyperlink>
      <w:r>
        <w:t xml:space="preserve"> </w:t>
      </w:r>
    </w:p>
  </w:footnote>
  <w:footnote w:id="4">
    <w:p w14:paraId="59588C3A" w14:textId="77777777" w:rsidR="00C05533" w:rsidRDefault="00C05533" w:rsidP="00C05533">
      <w:pPr>
        <w:pStyle w:val="Textonotapie"/>
      </w:pPr>
      <w:r>
        <w:rPr>
          <w:rStyle w:val="Refdenotaalpie"/>
        </w:rPr>
        <w:footnoteRef/>
      </w:r>
      <w:hyperlink r:id="rId3" w:history="1">
        <w:r w:rsidRPr="00632556">
          <w:rPr>
            <w:rStyle w:val="Hipervnculo"/>
          </w:rPr>
          <w:t>https://www.lamoncloa.gob.es/serviciosdeprensa/notasprensa/trabajo14/Paginas/2022/191222-smi-2023-propuesta.aspx</w:t>
        </w:r>
      </w:hyperlink>
      <w:r>
        <w:t xml:space="preserve">  </w:t>
      </w:r>
    </w:p>
  </w:footnote>
  <w:footnote w:id="5">
    <w:p w14:paraId="3508650A" w14:textId="77777777" w:rsidR="00C05533" w:rsidRPr="002B151C" w:rsidRDefault="00C05533" w:rsidP="00C05533">
      <w:pPr>
        <w:pStyle w:val="Textonotapie"/>
        <w:rPr>
          <w:rFonts w:ascii="Century Gothic" w:hAnsi="Century Gothic"/>
          <w:sz w:val="18"/>
          <w:szCs w:val="18"/>
        </w:rPr>
      </w:pPr>
      <w:r w:rsidRPr="002B151C">
        <w:rPr>
          <w:rStyle w:val="Refdenotaalpie"/>
          <w:rFonts w:ascii="Century Gothic" w:hAnsi="Century Gothic"/>
          <w:color w:val="000000" w:themeColor="text1"/>
          <w:sz w:val="18"/>
          <w:szCs w:val="18"/>
        </w:rPr>
        <w:footnoteRef/>
      </w:r>
      <w:r w:rsidRPr="002B151C">
        <w:rPr>
          <w:rFonts w:ascii="Century Gothic" w:hAnsi="Century Gothic"/>
          <w:color w:val="000000" w:themeColor="text1"/>
          <w:sz w:val="18"/>
          <w:szCs w:val="18"/>
        </w:rPr>
        <w:t xml:space="preserve"> Datos de contabilidad </w:t>
      </w:r>
      <w:r>
        <w:rPr>
          <w:rFonts w:ascii="Century Gothic" w:hAnsi="Century Gothic"/>
          <w:color w:val="000000" w:themeColor="text1"/>
          <w:sz w:val="18"/>
          <w:szCs w:val="18"/>
        </w:rPr>
        <w:t xml:space="preserve">nacional </w:t>
      </w:r>
      <w:r w:rsidRPr="002B151C">
        <w:rPr>
          <w:rFonts w:ascii="Century Gothic" w:hAnsi="Century Gothic"/>
          <w:color w:val="000000" w:themeColor="text1"/>
          <w:sz w:val="18"/>
          <w:szCs w:val="18"/>
        </w:rPr>
        <w:t xml:space="preserve">anual de España considerando el total de personas. </w:t>
      </w:r>
    </w:p>
  </w:footnote>
  <w:footnote w:id="6">
    <w:p w14:paraId="1E18ED8D" w14:textId="77777777" w:rsidR="00C05533" w:rsidRPr="001C08B7" w:rsidRDefault="00C05533" w:rsidP="00C05533">
      <w:pPr>
        <w:pStyle w:val="Textonotapie"/>
        <w:rPr>
          <w:rFonts w:ascii="Century Gothic" w:hAnsi="Century Gothic"/>
        </w:rPr>
      </w:pPr>
      <w:r w:rsidRPr="001C08B7">
        <w:rPr>
          <w:rStyle w:val="Refdenotaalpie"/>
          <w:rFonts w:ascii="Century Gothic" w:hAnsi="Century Gothic"/>
          <w:sz w:val="18"/>
        </w:rPr>
        <w:footnoteRef/>
      </w:r>
      <w:r>
        <w:rPr>
          <w:rFonts w:ascii="Century Gothic" w:hAnsi="Century Gothic"/>
          <w:sz w:val="18"/>
        </w:rPr>
        <w:t xml:space="preserve"> </w:t>
      </w:r>
      <w:hyperlink r:id="rId4" w:history="1">
        <w:r w:rsidRPr="00632556">
          <w:rPr>
            <w:rStyle w:val="Hipervnculo"/>
            <w:rFonts w:ascii="Century Gothic" w:hAnsi="Century Gothic"/>
            <w:sz w:val="18"/>
          </w:rPr>
          <w:t>https://portal.mineco.gob.es/RecursosArticulo/mineco/economia/macro/Programa_Estabilidad/Programa_Estabilidad_2023-2026.pdf</w:t>
        </w:r>
      </w:hyperlink>
    </w:p>
  </w:footnote>
  <w:footnote w:id="7">
    <w:p w14:paraId="3D5E078D" w14:textId="77777777" w:rsidR="00C05533" w:rsidRPr="00763027" w:rsidRDefault="00C05533" w:rsidP="00C05533">
      <w:pPr>
        <w:pStyle w:val="Textonotapie"/>
        <w:ind w:left="426"/>
        <w:rPr>
          <w:rFonts w:ascii="Century Gothic" w:hAnsi="Century Gothic"/>
          <w:color w:val="0000FF" w:themeColor="hyperlink"/>
          <w:sz w:val="18"/>
          <w:szCs w:val="18"/>
          <w:u w:val="single"/>
        </w:rPr>
      </w:pPr>
      <w:r w:rsidRPr="00763027">
        <w:rPr>
          <w:rStyle w:val="Refdenotaalpie"/>
          <w:rFonts w:ascii="Century Gothic" w:hAnsi="Century Gothic"/>
          <w:sz w:val="18"/>
          <w:szCs w:val="18"/>
        </w:rPr>
        <w:footnoteRef/>
      </w:r>
      <w:r w:rsidRPr="00763027">
        <w:rPr>
          <w:rFonts w:ascii="Century Gothic" w:hAnsi="Century Gothic"/>
          <w:sz w:val="18"/>
          <w:szCs w:val="18"/>
        </w:rPr>
        <w:t xml:space="preserve"> </w:t>
      </w:r>
      <w:hyperlink r:id="rId5" w:history="1">
        <w:r w:rsidRPr="00763027">
          <w:rPr>
            <w:rStyle w:val="Hipervnculo"/>
            <w:rFonts w:ascii="Century Gothic" w:hAnsi="Century Gothic"/>
            <w:sz w:val="18"/>
            <w:szCs w:val="18"/>
          </w:rPr>
          <w:t>https://portal.mineco.gob.es/RecursosArticulo/mineco/economia/macro/Plan_Presupuestario/Plan-Presupuestario-2024-ES.pdf</w:t>
        </w:r>
      </w:hyperlink>
    </w:p>
  </w:footnote>
  <w:footnote w:id="8">
    <w:p w14:paraId="5B547115" w14:textId="77777777" w:rsidR="00C05533" w:rsidRPr="00A065A9" w:rsidRDefault="00C05533" w:rsidP="00C05533">
      <w:pPr>
        <w:spacing w:line="276" w:lineRule="auto"/>
        <w:ind w:left="426"/>
        <w:rPr>
          <w:rFonts w:ascii="Arial" w:hAnsi="Arial" w:cs="Arial"/>
          <w:sz w:val="24"/>
          <w:szCs w:val="24"/>
        </w:rPr>
      </w:pPr>
      <w:r w:rsidRPr="00A065A9">
        <w:rPr>
          <w:rStyle w:val="Refdenotaalpie"/>
          <w:rFonts w:ascii="Arial" w:hAnsi="Arial" w:cs="Arial"/>
          <w:sz w:val="24"/>
          <w:szCs w:val="24"/>
        </w:rPr>
        <w:footnoteRef/>
      </w:r>
      <w:r w:rsidRPr="00A065A9">
        <w:rPr>
          <w:rFonts w:ascii="Arial" w:hAnsi="Arial" w:cs="Arial"/>
          <w:sz w:val="24"/>
          <w:szCs w:val="24"/>
        </w:rPr>
        <w:t xml:space="preserve"> </w:t>
      </w:r>
      <w:hyperlink r:id="rId6" w:history="1">
        <w:r w:rsidRPr="00A065A9">
          <w:rPr>
            <w:rStyle w:val="Hipervnculo"/>
            <w:rFonts w:ascii="Arial" w:hAnsi="Arial" w:cs="Arial"/>
            <w:sz w:val="24"/>
            <w:szCs w:val="24"/>
          </w:rPr>
          <w:t>https://www.bde.es/f/webbe/SES/Secciones/Publicaciones/InformesBoletinesRevistas/BoletinEconomico/23/T3/Fich/be2303-it-Proy.pdf</w:t>
        </w:r>
      </w:hyperlink>
    </w:p>
  </w:footnote>
  <w:footnote w:id="9">
    <w:p w14:paraId="518309B2" w14:textId="77777777" w:rsidR="00C05533" w:rsidRPr="00A065A9" w:rsidRDefault="00C05533" w:rsidP="00C05533">
      <w:pPr>
        <w:ind w:left="426"/>
        <w:rPr>
          <w:rFonts w:ascii="Arial" w:hAnsi="Arial" w:cs="Arial"/>
          <w:sz w:val="24"/>
          <w:szCs w:val="24"/>
        </w:rPr>
      </w:pPr>
      <w:r w:rsidRPr="00A065A9">
        <w:rPr>
          <w:rStyle w:val="Refdenotaalpie"/>
          <w:rFonts w:ascii="Arial" w:hAnsi="Arial" w:cs="Arial"/>
          <w:sz w:val="24"/>
          <w:szCs w:val="24"/>
        </w:rPr>
        <w:footnoteRef/>
      </w:r>
      <w:hyperlink r:id="rId7" w:history="1">
        <w:r w:rsidRPr="00A065A9">
          <w:rPr>
            <w:rStyle w:val="Hipervnculo"/>
            <w:rFonts w:ascii="Arial" w:hAnsi="Arial" w:cs="Arial"/>
            <w:sz w:val="24"/>
            <w:szCs w:val="24"/>
          </w:rPr>
          <w:t>https://economy-finance.ec.europa.eu/economic-surveillance-eu-economies/spain/economic-forecast-spain_en</w:t>
        </w:r>
      </w:hyperlink>
    </w:p>
    <w:p w14:paraId="2B17CE0D" w14:textId="77777777" w:rsidR="00C05533" w:rsidRDefault="00C05533" w:rsidP="00C05533">
      <w:pPr>
        <w:pStyle w:val="Textonotapie"/>
      </w:pPr>
    </w:p>
  </w:footnote>
  <w:footnote w:id="10">
    <w:p w14:paraId="4B48A123" w14:textId="77777777" w:rsidR="00C05533" w:rsidRPr="00763027" w:rsidRDefault="00C05533" w:rsidP="00C05533">
      <w:pPr>
        <w:spacing w:after="0"/>
        <w:rPr>
          <w:rFonts w:ascii="Century Gothic" w:hAnsi="Century Gothic"/>
          <w:color w:val="1F497D"/>
          <w:sz w:val="18"/>
          <w:szCs w:val="18"/>
        </w:rPr>
      </w:pPr>
      <w:r w:rsidRPr="00763027">
        <w:rPr>
          <w:rStyle w:val="Refdenotaalpie"/>
          <w:rFonts w:ascii="Century Gothic" w:hAnsi="Century Gothic"/>
          <w:sz w:val="18"/>
          <w:szCs w:val="18"/>
        </w:rPr>
        <w:footnoteRef/>
      </w:r>
      <w:r w:rsidRPr="00763027">
        <w:rPr>
          <w:rFonts w:ascii="Century Gothic" w:hAnsi="Century Gothic"/>
          <w:sz w:val="18"/>
          <w:szCs w:val="18"/>
        </w:rPr>
        <w:t xml:space="preserve"> Por ejemplo, en </w:t>
      </w:r>
      <w:hyperlink r:id="rId8" w:history="1">
        <w:r w:rsidRPr="00763027">
          <w:rPr>
            <w:rStyle w:val="Hipervnculo"/>
            <w:rFonts w:ascii="Century Gothic" w:hAnsi="Century Gothic"/>
            <w:sz w:val="18"/>
            <w:szCs w:val="18"/>
          </w:rPr>
          <w:t>https://rm.coe.int/168048b059</w:t>
        </w:r>
      </w:hyperlink>
      <w:r w:rsidRPr="00763027">
        <w:rPr>
          <w:rFonts w:ascii="Century Gothic" w:hAnsi="Century Gothic"/>
          <w:color w:val="1F497D"/>
          <w:sz w:val="18"/>
          <w:szCs w:val="18"/>
        </w:rPr>
        <w:t xml:space="preserve"> </w:t>
      </w:r>
      <w:r w:rsidRPr="00763027">
        <w:rPr>
          <w:rFonts w:ascii="Century Gothic" w:hAnsi="Century Gothic"/>
          <w:color w:val="000000" w:themeColor="text1"/>
          <w:sz w:val="18"/>
          <w:szCs w:val="18"/>
        </w:rPr>
        <w:t>(páginas 225-227)</w:t>
      </w:r>
    </w:p>
  </w:footnote>
  <w:footnote w:id="11">
    <w:p w14:paraId="3C5AA271" w14:textId="77777777" w:rsidR="00C05533" w:rsidRDefault="00C05533" w:rsidP="00C05533">
      <w:pPr>
        <w:pStyle w:val="Textonotapie"/>
        <w:rPr>
          <w:rFonts w:ascii="Century Gothic" w:hAnsi="Century Gothic"/>
        </w:rPr>
      </w:pPr>
      <w:r>
        <w:rPr>
          <w:rStyle w:val="Refdenotaalpie"/>
          <w:rFonts w:ascii="Century Gothic" w:hAnsi="Century Gothic"/>
          <w:sz w:val="16"/>
        </w:rPr>
        <w:footnoteRef/>
      </w:r>
      <w:r w:rsidRPr="001255BC">
        <w:rPr>
          <w:rFonts w:ascii="Century Gothic" w:hAnsi="Century Gothic"/>
          <w:sz w:val="18"/>
          <w:szCs w:val="18"/>
        </w:rPr>
        <w:t xml:space="preserve"> </w:t>
      </w:r>
      <w:hyperlink r:id="rId9" w:history="1">
        <w:r w:rsidRPr="00A13ED8">
          <w:rPr>
            <w:rStyle w:val="Hipervnculo"/>
          </w:rPr>
          <w:t>https://www.boe.es/buscar/doc.php?id=DOUE-L-2022-81556</w:t>
        </w:r>
      </w:hyperlink>
      <w:r>
        <w:t xml:space="preserve"> </w:t>
      </w:r>
    </w:p>
  </w:footnote>
  <w:footnote w:id="12">
    <w:p w14:paraId="7C16A403" w14:textId="77777777" w:rsidR="00C05533" w:rsidRPr="00E91BC5" w:rsidRDefault="00C05533" w:rsidP="00C05533">
      <w:pPr>
        <w:pStyle w:val="Textonotapie"/>
        <w:rPr>
          <w:rFonts w:ascii="Century Gothic" w:hAnsi="Century Gothic"/>
          <w:sz w:val="18"/>
          <w:szCs w:val="18"/>
        </w:rPr>
      </w:pPr>
      <w:r w:rsidRPr="001255BC">
        <w:rPr>
          <w:rStyle w:val="Refdenotaalpie"/>
          <w:rFonts w:ascii="Century Gothic" w:hAnsi="Century Gothic"/>
          <w:sz w:val="18"/>
          <w:szCs w:val="18"/>
        </w:rPr>
        <w:footnoteRef/>
      </w:r>
      <w:r w:rsidRPr="001255BC">
        <w:rPr>
          <w:rFonts w:ascii="Century Gothic" w:hAnsi="Century Gothic"/>
          <w:sz w:val="18"/>
          <w:szCs w:val="18"/>
        </w:rPr>
        <w:t xml:space="preserve"> </w:t>
      </w:r>
      <w:hyperlink r:id="rId10" w:history="1">
        <w:r w:rsidRPr="001255BC">
          <w:rPr>
            <w:rStyle w:val="Hipervnculo"/>
            <w:rFonts w:ascii="Century Gothic" w:hAnsi="Century Gothic"/>
            <w:sz w:val="18"/>
            <w:szCs w:val="18"/>
          </w:rPr>
          <w:t>https://www.ilo.org/asia/projects/WCMS_508566/lang--en/index.htm</w:t>
        </w:r>
      </w:hyperlink>
    </w:p>
  </w:footnote>
  <w:footnote w:id="13">
    <w:p w14:paraId="0B9EF490" w14:textId="77777777" w:rsidR="00C05533" w:rsidRDefault="00C05533" w:rsidP="00C05533">
      <w:pPr>
        <w:pStyle w:val="Textonotapie"/>
      </w:pPr>
      <w:r>
        <w:rPr>
          <w:rStyle w:val="Refdenotaalpie"/>
        </w:rPr>
        <w:footnoteRef/>
      </w:r>
      <w:r>
        <w:t xml:space="preserve"> </w:t>
      </w:r>
      <w:hyperlink r:id="rId11" w:history="1">
        <w:r w:rsidRPr="00632556">
          <w:rPr>
            <w:rStyle w:val="Hipervnculo"/>
          </w:rPr>
          <w:t>https://www.lamoncloa.gob.es/serviciosdeprensa/notasprensa/trabajo14/Paginas/2022/191222-smi-2023-propuesta.aspx</w:t>
        </w:r>
      </w:hyperlink>
      <w:r>
        <w:t xml:space="preserve"> </w:t>
      </w:r>
    </w:p>
  </w:footnote>
  <w:footnote w:id="14">
    <w:p w14:paraId="583FB229" w14:textId="77777777" w:rsidR="00C05533" w:rsidRPr="00033FBD" w:rsidRDefault="00C05533" w:rsidP="00453EBC">
      <w:pPr>
        <w:pStyle w:val="Textonotapie"/>
        <w:jc w:val="both"/>
        <w:rPr>
          <w:rFonts w:ascii="Arial" w:hAnsi="Arial" w:cs="Arial"/>
          <w:sz w:val="18"/>
          <w:szCs w:val="18"/>
        </w:rPr>
      </w:pPr>
      <w:r w:rsidRPr="00033FBD">
        <w:rPr>
          <w:rStyle w:val="Refdenotaalpie"/>
          <w:rFonts w:ascii="Arial" w:hAnsi="Arial" w:cs="Arial"/>
          <w:sz w:val="18"/>
          <w:szCs w:val="18"/>
        </w:rPr>
        <w:footnoteRef/>
      </w:r>
      <w:hyperlink r:id="rId12" w:history="1">
        <w:r w:rsidRPr="00033FBD">
          <w:rPr>
            <w:rStyle w:val="Hipervnculo"/>
            <w:rFonts w:ascii="Arial" w:hAnsi="Arial" w:cs="Arial"/>
            <w:sz w:val="18"/>
            <w:szCs w:val="18"/>
          </w:rPr>
          <w:t>https://ec.europa.eu/eurostat/statistics-explained/index.php/Gender_pay_gap_statistics</w:t>
        </w:r>
      </w:hyperlink>
      <w:r w:rsidRPr="00033FBD">
        <w:rPr>
          <w:rFonts w:ascii="Arial" w:hAnsi="Arial" w:cs="Arial"/>
          <w:sz w:val="18"/>
          <w:szCs w:val="18"/>
        </w:rPr>
        <w:t xml:space="preserve">,  </w:t>
      </w:r>
      <w:hyperlink r:id="rId13" w:history="1">
        <w:r w:rsidRPr="00033FBD">
          <w:rPr>
            <w:rStyle w:val="Hipervnculo"/>
            <w:rFonts w:ascii="Arial" w:hAnsi="Arial" w:cs="Arial"/>
            <w:sz w:val="18"/>
            <w:szCs w:val="18"/>
          </w:rPr>
          <w:t>http://www.ine.es/dyngs/INEbase/es/operacion.htm?c=Estadistica_C&amp;cid=1254736177025&amp;menu=resultados&amp;secc=1254736061996&amp;idp=1254735976596</w:t>
        </w:r>
      </w:hyperlink>
    </w:p>
  </w:footnote>
  <w:footnote w:id="15">
    <w:p w14:paraId="1EA2C642" w14:textId="77777777" w:rsidR="00C05533" w:rsidRPr="00033FBD" w:rsidRDefault="00C05533" w:rsidP="00453EBC">
      <w:pPr>
        <w:pStyle w:val="Textonotapie"/>
        <w:spacing w:before="120"/>
        <w:jc w:val="both"/>
        <w:rPr>
          <w:rFonts w:ascii="Arial" w:hAnsi="Arial" w:cs="Arial"/>
          <w:sz w:val="18"/>
          <w:szCs w:val="18"/>
          <w:lang w:val="en-US"/>
        </w:rPr>
      </w:pPr>
      <w:r w:rsidRPr="00033FBD">
        <w:rPr>
          <w:rStyle w:val="Refdenotaalpie"/>
          <w:rFonts w:ascii="Arial" w:hAnsi="Arial" w:cs="Arial"/>
          <w:sz w:val="18"/>
          <w:szCs w:val="18"/>
        </w:rPr>
        <w:footnoteRef/>
      </w:r>
      <w:r w:rsidRPr="00033FBD">
        <w:rPr>
          <w:rFonts w:ascii="Arial" w:hAnsi="Arial" w:cs="Arial"/>
          <w:sz w:val="18"/>
          <w:szCs w:val="18"/>
          <w:lang w:val="en-GB"/>
        </w:rPr>
        <w:t xml:space="preserve"> ILO (2018): Global Wage Report 2018/19: What lies behind gender pay gaps (</w:t>
      </w:r>
      <w:hyperlink r:id="rId14" w:history="1">
        <w:r w:rsidRPr="00033FBD">
          <w:rPr>
            <w:rStyle w:val="Hipervnculo"/>
            <w:rFonts w:ascii="Arial" w:hAnsi="Arial" w:cs="Arial"/>
            <w:sz w:val="18"/>
            <w:szCs w:val="18"/>
            <w:lang w:val="en-US"/>
          </w:rPr>
          <w:t>https://www.ilo.org/wcmsp5/groups/public/---dgreports/---dcomm/---publ/documents/publication/wcms_650553.pdf</w:t>
        </w:r>
      </w:hyperlink>
      <w:r w:rsidRPr="00033FBD">
        <w:rPr>
          <w:rFonts w:ascii="Arial" w:hAnsi="Arial" w:cs="Arial"/>
          <w:sz w:val="18"/>
          <w:szCs w:val="18"/>
          <w:lang w:val="en-US"/>
        </w:rPr>
        <w:t xml:space="preserve">); </w:t>
      </w:r>
      <w:hyperlink r:id="rId15" w:history="1">
        <w:r w:rsidRPr="00033FBD">
          <w:rPr>
            <w:rStyle w:val="Hipervnculo"/>
            <w:rFonts w:ascii="Arial" w:hAnsi="Arial" w:cs="Arial"/>
            <w:sz w:val="18"/>
            <w:szCs w:val="18"/>
            <w:lang w:val="en-US"/>
          </w:rPr>
          <w:t>http://ec.europa.eu/transparency/regdoc/rep/1/2017/ES/COM-2017-678-F1-ES-MAIN-PART-1.PDF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416F" w14:textId="77777777" w:rsidR="00C05533" w:rsidRDefault="00C055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31A23" w14:textId="77777777" w:rsidR="00C05533" w:rsidRDefault="00C0553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485A8" w14:textId="77777777" w:rsidR="00C05533" w:rsidRDefault="00C055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1645"/>
    <w:multiLevelType w:val="hybridMultilevel"/>
    <w:tmpl w:val="16EEEC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145EB9"/>
    <w:multiLevelType w:val="hybridMultilevel"/>
    <w:tmpl w:val="2E26D364"/>
    <w:lvl w:ilvl="0" w:tplc="534ABA00">
      <w:start w:val="1"/>
      <w:numFmt w:val="lowerRoman"/>
      <w:lvlText w:val="%1)"/>
      <w:lvlJc w:val="left"/>
      <w:pPr>
        <w:ind w:left="1080" w:hanging="72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55325D"/>
    <w:multiLevelType w:val="hybridMultilevel"/>
    <w:tmpl w:val="90C454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A81693"/>
    <w:multiLevelType w:val="hybridMultilevel"/>
    <w:tmpl w:val="4EE038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97633F"/>
    <w:multiLevelType w:val="hybridMultilevel"/>
    <w:tmpl w:val="9FD65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80187B"/>
    <w:multiLevelType w:val="singleLevel"/>
    <w:tmpl w:val="4A32EF06"/>
    <w:lvl w:ilvl="0">
      <w:start w:val="1"/>
      <w:numFmt w:val="lowerLetter"/>
      <w:pStyle w:val="Ttulo3"/>
      <w:lvlText w:val="%1)"/>
      <w:lvlJc w:val="left"/>
      <w:pPr>
        <w:tabs>
          <w:tab w:val="num" w:pos="360"/>
        </w:tabs>
        <w:ind w:left="360" w:hanging="360"/>
      </w:pPr>
    </w:lvl>
  </w:abstractNum>
  <w:abstractNum w:abstractNumId="6" w15:restartNumberingAfterBreak="0">
    <w:nsid w:val="20F35050"/>
    <w:multiLevelType w:val="singleLevel"/>
    <w:tmpl w:val="9536BEB2"/>
    <w:lvl w:ilvl="0">
      <w:start w:val="1"/>
      <w:numFmt w:val="decimal"/>
      <w:pStyle w:val="Ttulo2"/>
      <w:lvlText w:val="%1."/>
      <w:lvlJc w:val="left"/>
      <w:pPr>
        <w:tabs>
          <w:tab w:val="num" w:pos="360"/>
        </w:tabs>
        <w:ind w:left="360" w:hanging="360"/>
      </w:pPr>
      <w:rPr>
        <w:rFonts w:ascii="Arial Narrow" w:hAnsi="Arial Narrow" w:hint="default"/>
        <w:b/>
        <w:i w:val="0"/>
      </w:rPr>
    </w:lvl>
  </w:abstractNum>
  <w:abstractNum w:abstractNumId="7" w15:restartNumberingAfterBreak="0">
    <w:nsid w:val="24D5385E"/>
    <w:multiLevelType w:val="hybridMultilevel"/>
    <w:tmpl w:val="7C0A2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7F70D9"/>
    <w:multiLevelType w:val="hybridMultilevel"/>
    <w:tmpl w:val="FFE21BD2"/>
    <w:lvl w:ilvl="0" w:tplc="0C0A0001">
      <w:start w:val="1"/>
      <w:numFmt w:val="bullet"/>
      <w:lvlText w:val=""/>
      <w:lvlJc w:val="left"/>
      <w:pPr>
        <w:ind w:left="789" w:hanging="360"/>
      </w:pPr>
      <w:rPr>
        <w:rFonts w:ascii="Symbol" w:hAnsi="Symbol" w:hint="default"/>
      </w:rPr>
    </w:lvl>
    <w:lvl w:ilvl="1" w:tplc="0C0A0003">
      <w:start w:val="1"/>
      <w:numFmt w:val="bullet"/>
      <w:lvlText w:val="o"/>
      <w:lvlJc w:val="left"/>
      <w:pPr>
        <w:ind w:left="1509" w:hanging="360"/>
      </w:pPr>
      <w:rPr>
        <w:rFonts w:ascii="Courier New" w:hAnsi="Courier New" w:cs="Courier New" w:hint="default"/>
      </w:rPr>
    </w:lvl>
    <w:lvl w:ilvl="2" w:tplc="0C0A0005">
      <w:start w:val="1"/>
      <w:numFmt w:val="bullet"/>
      <w:lvlText w:val=""/>
      <w:lvlJc w:val="left"/>
      <w:pPr>
        <w:ind w:left="2229" w:hanging="360"/>
      </w:pPr>
      <w:rPr>
        <w:rFonts w:ascii="Wingdings" w:hAnsi="Wingdings" w:hint="default"/>
      </w:rPr>
    </w:lvl>
    <w:lvl w:ilvl="3" w:tplc="0C0A0001">
      <w:start w:val="1"/>
      <w:numFmt w:val="bullet"/>
      <w:lvlText w:val=""/>
      <w:lvlJc w:val="left"/>
      <w:pPr>
        <w:ind w:left="2949" w:hanging="360"/>
      </w:pPr>
      <w:rPr>
        <w:rFonts w:ascii="Symbol" w:hAnsi="Symbol" w:hint="default"/>
      </w:rPr>
    </w:lvl>
    <w:lvl w:ilvl="4" w:tplc="0C0A0003">
      <w:start w:val="1"/>
      <w:numFmt w:val="bullet"/>
      <w:lvlText w:val="o"/>
      <w:lvlJc w:val="left"/>
      <w:pPr>
        <w:ind w:left="3669" w:hanging="360"/>
      </w:pPr>
      <w:rPr>
        <w:rFonts w:ascii="Courier New" w:hAnsi="Courier New" w:cs="Courier New" w:hint="default"/>
      </w:rPr>
    </w:lvl>
    <w:lvl w:ilvl="5" w:tplc="0C0A0005">
      <w:start w:val="1"/>
      <w:numFmt w:val="bullet"/>
      <w:lvlText w:val=""/>
      <w:lvlJc w:val="left"/>
      <w:pPr>
        <w:ind w:left="4389" w:hanging="360"/>
      </w:pPr>
      <w:rPr>
        <w:rFonts w:ascii="Wingdings" w:hAnsi="Wingdings" w:hint="default"/>
      </w:rPr>
    </w:lvl>
    <w:lvl w:ilvl="6" w:tplc="0C0A0001">
      <w:start w:val="1"/>
      <w:numFmt w:val="bullet"/>
      <w:lvlText w:val=""/>
      <w:lvlJc w:val="left"/>
      <w:pPr>
        <w:ind w:left="5109" w:hanging="360"/>
      </w:pPr>
      <w:rPr>
        <w:rFonts w:ascii="Symbol" w:hAnsi="Symbol" w:hint="default"/>
      </w:rPr>
    </w:lvl>
    <w:lvl w:ilvl="7" w:tplc="0C0A0003">
      <w:start w:val="1"/>
      <w:numFmt w:val="bullet"/>
      <w:lvlText w:val="o"/>
      <w:lvlJc w:val="left"/>
      <w:pPr>
        <w:ind w:left="5829" w:hanging="360"/>
      </w:pPr>
      <w:rPr>
        <w:rFonts w:ascii="Courier New" w:hAnsi="Courier New" w:cs="Courier New" w:hint="default"/>
      </w:rPr>
    </w:lvl>
    <w:lvl w:ilvl="8" w:tplc="0C0A0005">
      <w:start w:val="1"/>
      <w:numFmt w:val="bullet"/>
      <w:lvlText w:val=""/>
      <w:lvlJc w:val="left"/>
      <w:pPr>
        <w:ind w:left="6549" w:hanging="360"/>
      </w:pPr>
      <w:rPr>
        <w:rFonts w:ascii="Wingdings" w:hAnsi="Wingdings" w:hint="default"/>
      </w:rPr>
    </w:lvl>
  </w:abstractNum>
  <w:abstractNum w:abstractNumId="9" w15:restartNumberingAfterBreak="0">
    <w:nsid w:val="2D4E5696"/>
    <w:multiLevelType w:val="hybridMultilevel"/>
    <w:tmpl w:val="0D42F520"/>
    <w:lvl w:ilvl="0" w:tplc="7E5E48C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97461F"/>
    <w:multiLevelType w:val="hybridMultilevel"/>
    <w:tmpl w:val="CE06352A"/>
    <w:lvl w:ilvl="0" w:tplc="0C0A0001">
      <w:start w:val="1"/>
      <w:numFmt w:val="bullet"/>
      <w:lvlText w:val=""/>
      <w:lvlJc w:val="left"/>
      <w:pPr>
        <w:ind w:left="2148" w:hanging="360"/>
      </w:pPr>
      <w:rPr>
        <w:rFonts w:ascii="Symbol" w:hAnsi="Symbol" w:hint="default"/>
      </w:rPr>
    </w:lvl>
    <w:lvl w:ilvl="1" w:tplc="0C0A0003" w:tentative="1">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11" w15:restartNumberingAfterBreak="0">
    <w:nsid w:val="2EEB3708"/>
    <w:multiLevelType w:val="singleLevel"/>
    <w:tmpl w:val="186EB318"/>
    <w:lvl w:ilvl="0">
      <w:start w:val="1"/>
      <w:numFmt w:val="decimal"/>
      <w:pStyle w:val="Nmeros"/>
      <w:lvlText w:val="%1."/>
      <w:lvlJc w:val="left"/>
      <w:pPr>
        <w:tabs>
          <w:tab w:val="num" w:pos="360"/>
        </w:tabs>
        <w:ind w:left="360" w:hanging="360"/>
      </w:pPr>
    </w:lvl>
  </w:abstractNum>
  <w:abstractNum w:abstractNumId="12" w15:restartNumberingAfterBreak="0">
    <w:nsid w:val="2FEF2C77"/>
    <w:multiLevelType w:val="hybridMultilevel"/>
    <w:tmpl w:val="406A84C8"/>
    <w:lvl w:ilvl="0" w:tplc="F59ABB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792BD6"/>
    <w:multiLevelType w:val="singleLevel"/>
    <w:tmpl w:val="466614EC"/>
    <w:lvl w:ilvl="0">
      <w:numFmt w:val="none"/>
      <w:pStyle w:val="Topo1"/>
      <w:lvlText w:val=""/>
      <w:lvlJc w:val="left"/>
      <w:pPr>
        <w:tabs>
          <w:tab w:val="num" w:pos="700"/>
        </w:tabs>
        <w:ind w:left="680" w:hanging="340"/>
      </w:pPr>
      <w:rPr>
        <w:rFonts w:ascii="Wingdings" w:hAnsi="Wingdings" w:hint="default"/>
      </w:rPr>
    </w:lvl>
  </w:abstractNum>
  <w:abstractNum w:abstractNumId="14" w15:restartNumberingAfterBreak="0">
    <w:nsid w:val="3CE84E14"/>
    <w:multiLevelType w:val="hybridMultilevel"/>
    <w:tmpl w:val="41F83280"/>
    <w:lvl w:ilvl="0" w:tplc="0C0A0001">
      <w:start w:val="1"/>
      <w:numFmt w:val="bullet"/>
      <w:lvlText w:val=""/>
      <w:lvlJc w:val="left"/>
      <w:pPr>
        <w:ind w:left="1077" w:hanging="360"/>
      </w:pPr>
      <w:rPr>
        <w:rFonts w:ascii="Symbol" w:hAnsi="Symbol" w:hint="default"/>
      </w:rPr>
    </w:lvl>
    <w:lvl w:ilvl="1" w:tplc="0C0A0003">
      <w:start w:val="1"/>
      <w:numFmt w:val="bullet"/>
      <w:lvlText w:val="o"/>
      <w:lvlJc w:val="left"/>
      <w:pPr>
        <w:ind w:left="1797" w:hanging="360"/>
      </w:pPr>
      <w:rPr>
        <w:rFonts w:ascii="Courier New" w:hAnsi="Courier New" w:cs="Courier New" w:hint="default"/>
      </w:rPr>
    </w:lvl>
    <w:lvl w:ilvl="2" w:tplc="0C0A0005">
      <w:start w:val="1"/>
      <w:numFmt w:val="bullet"/>
      <w:lvlText w:val=""/>
      <w:lvlJc w:val="left"/>
      <w:pPr>
        <w:ind w:left="2517" w:hanging="360"/>
      </w:pPr>
      <w:rPr>
        <w:rFonts w:ascii="Wingdings" w:hAnsi="Wingdings" w:hint="default"/>
      </w:rPr>
    </w:lvl>
    <w:lvl w:ilvl="3" w:tplc="0C0A0001">
      <w:start w:val="1"/>
      <w:numFmt w:val="bullet"/>
      <w:lvlText w:val=""/>
      <w:lvlJc w:val="left"/>
      <w:pPr>
        <w:ind w:left="3237" w:hanging="360"/>
      </w:pPr>
      <w:rPr>
        <w:rFonts w:ascii="Symbol" w:hAnsi="Symbol" w:hint="default"/>
      </w:rPr>
    </w:lvl>
    <w:lvl w:ilvl="4" w:tplc="0C0A0003">
      <w:start w:val="1"/>
      <w:numFmt w:val="bullet"/>
      <w:lvlText w:val="o"/>
      <w:lvlJc w:val="left"/>
      <w:pPr>
        <w:ind w:left="3957" w:hanging="360"/>
      </w:pPr>
      <w:rPr>
        <w:rFonts w:ascii="Courier New" w:hAnsi="Courier New" w:cs="Courier New" w:hint="default"/>
      </w:rPr>
    </w:lvl>
    <w:lvl w:ilvl="5" w:tplc="0C0A0005">
      <w:start w:val="1"/>
      <w:numFmt w:val="bullet"/>
      <w:lvlText w:val=""/>
      <w:lvlJc w:val="left"/>
      <w:pPr>
        <w:ind w:left="4677" w:hanging="360"/>
      </w:pPr>
      <w:rPr>
        <w:rFonts w:ascii="Wingdings" w:hAnsi="Wingdings" w:hint="default"/>
      </w:rPr>
    </w:lvl>
    <w:lvl w:ilvl="6" w:tplc="0C0A0001">
      <w:start w:val="1"/>
      <w:numFmt w:val="bullet"/>
      <w:lvlText w:val=""/>
      <w:lvlJc w:val="left"/>
      <w:pPr>
        <w:ind w:left="5397" w:hanging="360"/>
      </w:pPr>
      <w:rPr>
        <w:rFonts w:ascii="Symbol" w:hAnsi="Symbol" w:hint="default"/>
      </w:rPr>
    </w:lvl>
    <w:lvl w:ilvl="7" w:tplc="0C0A0003">
      <w:start w:val="1"/>
      <w:numFmt w:val="bullet"/>
      <w:lvlText w:val="o"/>
      <w:lvlJc w:val="left"/>
      <w:pPr>
        <w:ind w:left="6117" w:hanging="360"/>
      </w:pPr>
      <w:rPr>
        <w:rFonts w:ascii="Courier New" w:hAnsi="Courier New" w:cs="Courier New" w:hint="default"/>
      </w:rPr>
    </w:lvl>
    <w:lvl w:ilvl="8" w:tplc="0C0A0005">
      <w:start w:val="1"/>
      <w:numFmt w:val="bullet"/>
      <w:lvlText w:val=""/>
      <w:lvlJc w:val="left"/>
      <w:pPr>
        <w:ind w:left="6837" w:hanging="360"/>
      </w:pPr>
      <w:rPr>
        <w:rFonts w:ascii="Wingdings" w:hAnsi="Wingdings" w:hint="default"/>
      </w:rPr>
    </w:lvl>
  </w:abstractNum>
  <w:abstractNum w:abstractNumId="15" w15:restartNumberingAfterBreak="0">
    <w:nsid w:val="458252A0"/>
    <w:multiLevelType w:val="hybridMultilevel"/>
    <w:tmpl w:val="280C9A30"/>
    <w:lvl w:ilvl="0" w:tplc="0C0A0001">
      <w:start w:val="1"/>
      <w:numFmt w:val="bullet"/>
      <w:lvlText w:val=""/>
      <w:lvlJc w:val="left"/>
      <w:pPr>
        <w:ind w:left="300" w:hanging="360"/>
      </w:pPr>
      <w:rPr>
        <w:rFonts w:ascii="Symbol" w:hAnsi="Symbol" w:hint="default"/>
      </w:rPr>
    </w:lvl>
    <w:lvl w:ilvl="1" w:tplc="0C0A0003" w:tentative="1">
      <w:start w:val="1"/>
      <w:numFmt w:val="bullet"/>
      <w:lvlText w:val="o"/>
      <w:lvlJc w:val="left"/>
      <w:pPr>
        <w:ind w:left="1020" w:hanging="360"/>
      </w:pPr>
      <w:rPr>
        <w:rFonts w:ascii="Courier New" w:hAnsi="Courier New" w:cs="Courier New" w:hint="default"/>
      </w:rPr>
    </w:lvl>
    <w:lvl w:ilvl="2" w:tplc="0C0A0005" w:tentative="1">
      <w:start w:val="1"/>
      <w:numFmt w:val="bullet"/>
      <w:lvlText w:val=""/>
      <w:lvlJc w:val="left"/>
      <w:pPr>
        <w:ind w:left="1740" w:hanging="360"/>
      </w:pPr>
      <w:rPr>
        <w:rFonts w:ascii="Wingdings" w:hAnsi="Wingdings" w:hint="default"/>
      </w:rPr>
    </w:lvl>
    <w:lvl w:ilvl="3" w:tplc="0C0A0001" w:tentative="1">
      <w:start w:val="1"/>
      <w:numFmt w:val="bullet"/>
      <w:lvlText w:val=""/>
      <w:lvlJc w:val="left"/>
      <w:pPr>
        <w:ind w:left="2460" w:hanging="360"/>
      </w:pPr>
      <w:rPr>
        <w:rFonts w:ascii="Symbol" w:hAnsi="Symbol" w:hint="default"/>
      </w:rPr>
    </w:lvl>
    <w:lvl w:ilvl="4" w:tplc="0C0A0003" w:tentative="1">
      <w:start w:val="1"/>
      <w:numFmt w:val="bullet"/>
      <w:lvlText w:val="o"/>
      <w:lvlJc w:val="left"/>
      <w:pPr>
        <w:ind w:left="3180" w:hanging="360"/>
      </w:pPr>
      <w:rPr>
        <w:rFonts w:ascii="Courier New" w:hAnsi="Courier New" w:cs="Courier New" w:hint="default"/>
      </w:rPr>
    </w:lvl>
    <w:lvl w:ilvl="5" w:tplc="0C0A0005" w:tentative="1">
      <w:start w:val="1"/>
      <w:numFmt w:val="bullet"/>
      <w:lvlText w:val=""/>
      <w:lvlJc w:val="left"/>
      <w:pPr>
        <w:ind w:left="3900" w:hanging="360"/>
      </w:pPr>
      <w:rPr>
        <w:rFonts w:ascii="Wingdings" w:hAnsi="Wingdings" w:hint="default"/>
      </w:rPr>
    </w:lvl>
    <w:lvl w:ilvl="6" w:tplc="0C0A0001" w:tentative="1">
      <w:start w:val="1"/>
      <w:numFmt w:val="bullet"/>
      <w:lvlText w:val=""/>
      <w:lvlJc w:val="left"/>
      <w:pPr>
        <w:ind w:left="4620" w:hanging="360"/>
      </w:pPr>
      <w:rPr>
        <w:rFonts w:ascii="Symbol" w:hAnsi="Symbol" w:hint="default"/>
      </w:rPr>
    </w:lvl>
    <w:lvl w:ilvl="7" w:tplc="0C0A0003" w:tentative="1">
      <w:start w:val="1"/>
      <w:numFmt w:val="bullet"/>
      <w:lvlText w:val="o"/>
      <w:lvlJc w:val="left"/>
      <w:pPr>
        <w:ind w:left="5340" w:hanging="360"/>
      </w:pPr>
      <w:rPr>
        <w:rFonts w:ascii="Courier New" w:hAnsi="Courier New" w:cs="Courier New" w:hint="default"/>
      </w:rPr>
    </w:lvl>
    <w:lvl w:ilvl="8" w:tplc="0C0A0005" w:tentative="1">
      <w:start w:val="1"/>
      <w:numFmt w:val="bullet"/>
      <w:lvlText w:val=""/>
      <w:lvlJc w:val="left"/>
      <w:pPr>
        <w:ind w:left="6060" w:hanging="360"/>
      </w:pPr>
      <w:rPr>
        <w:rFonts w:ascii="Wingdings" w:hAnsi="Wingdings" w:hint="default"/>
      </w:rPr>
    </w:lvl>
  </w:abstractNum>
  <w:abstractNum w:abstractNumId="16" w15:restartNumberingAfterBreak="0">
    <w:nsid w:val="472D4028"/>
    <w:multiLevelType w:val="singleLevel"/>
    <w:tmpl w:val="63A8BDE4"/>
    <w:lvl w:ilvl="0">
      <w:start w:val="1"/>
      <w:numFmt w:val="bullet"/>
      <w:pStyle w:val="Topo"/>
      <w:lvlText w:val=""/>
      <w:lvlJc w:val="left"/>
      <w:pPr>
        <w:tabs>
          <w:tab w:val="num" w:pos="360"/>
        </w:tabs>
        <w:ind w:left="360" w:hanging="360"/>
      </w:pPr>
      <w:rPr>
        <w:rFonts w:ascii="Symbol" w:hAnsi="Symbol" w:hint="default"/>
      </w:rPr>
    </w:lvl>
  </w:abstractNum>
  <w:abstractNum w:abstractNumId="17" w15:restartNumberingAfterBreak="0">
    <w:nsid w:val="4E7105A8"/>
    <w:multiLevelType w:val="hybridMultilevel"/>
    <w:tmpl w:val="C42AF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04B236B"/>
    <w:multiLevelType w:val="multilevel"/>
    <w:tmpl w:val="52AAD44C"/>
    <w:lvl w:ilvl="0">
      <w:start w:val="1"/>
      <w:numFmt w:val="decimal"/>
      <w:lvlText w:val="%1."/>
      <w:lvlJc w:val="left"/>
      <w:pPr>
        <w:ind w:left="786"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5886614A"/>
    <w:multiLevelType w:val="hybridMultilevel"/>
    <w:tmpl w:val="DB3C30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E941769"/>
    <w:multiLevelType w:val="singleLevel"/>
    <w:tmpl w:val="43F0DE78"/>
    <w:lvl w:ilvl="0">
      <w:start w:val="1"/>
      <w:numFmt w:val="decimal"/>
      <w:pStyle w:val="Ttulo4"/>
      <w:lvlText w:val="%1."/>
      <w:lvlJc w:val="left"/>
      <w:pPr>
        <w:tabs>
          <w:tab w:val="num" w:pos="360"/>
        </w:tabs>
        <w:ind w:left="360" w:hanging="360"/>
      </w:pPr>
      <w:rPr>
        <w:rFonts w:ascii="Arial Narrow" w:hAnsi="Arial Narrow" w:hint="default"/>
        <w:b w:val="0"/>
        <w:i w:val="0"/>
        <w:sz w:val="28"/>
      </w:rPr>
    </w:lvl>
  </w:abstractNum>
  <w:abstractNum w:abstractNumId="21" w15:restartNumberingAfterBreak="0">
    <w:nsid w:val="63B905D2"/>
    <w:multiLevelType w:val="hybridMultilevel"/>
    <w:tmpl w:val="F44A3E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BB725E8"/>
    <w:multiLevelType w:val="hybridMultilevel"/>
    <w:tmpl w:val="038EA5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D6D03DE"/>
    <w:multiLevelType w:val="hybridMultilevel"/>
    <w:tmpl w:val="1C60FE6E"/>
    <w:lvl w:ilvl="0" w:tplc="0C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20"/>
  </w:num>
  <w:num w:numId="5">
    <w:abstractNumId w:val="16"/>
  </w:num>
  <w:num w:numId="6">
    <w:abstractNumId w:val="13"/>
  </w:num>
  <w:num w:numId="7">
    <w:abstractNumId w:val="22"/>
  </w:num>
  <w:num w:numId="8">
    <w:abstractNumId w:val="10"/>
  </w:num>
  <w:num w:numId="9">
    <w:abstractNumId w:val="19"/>
  </w:num>
  <w:num w:numId="10">
    <w:abstractNumId w:val="7"/>
  </w:num>
  <w:num w:numId="11">
    <w:abstractNumId w:val="2"/>
  </w:num>
  <w:num w:numId="12">
    <w:abstractNumId w:val="0"/>
  </w:num>
  <w:num w:numId="13">
    <w:abstractNumId w:val="17"/>
  </w:num>
  <w:num w:numId="14">
    <w:abstractNumId w:val="21"/>
  </w:num>
  <w:num w:numId="15">
    <w:abstractNumId w:val="23"/>
  </w:num>
  <w:num w:numId="16">
    <w:abstractNumId w:val="3"/>
  </w:num>
  <w:num w:numId="17">
    <w:abstractNumId w:val="14"/>
  </w:num>
  <w:num w:numId="18">
    <w:abstractNumId w:val="8"/>
  </w:num>
  <w:num w:numId="19">
    <w:abstractNumId w:val="4"/>
  </w:num>
  <w:num w:numId="20">
    <w:abstractNumId w:val="1"/>
  </w:num>
  <w:num w:numId="21">
    <w:abstractNumId w:val="12"/>
  </w:num>
  <w:num w:numId="22">
    <w:abstractNumId w:val="9"/>
  </w:num>
  <w:num w:numId="23">
    <w:abstractNumId w:val="15"/>
  </w:num>
  <w:num w:numId="24">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0B"/>
    <w:rsid w:val="0000029D"/>
    <w:rsid w:val="00000A79"/>
    <w:rsid w:val="0000233F"/>
    <w:rsid w:val="00002ECB"/>
    <w:rsid w:val="000040A0"/>
    <w:rsid w:val="00004A36"/>
    <w:rsid w:val="00004C99"/>
    <w:rsid w:val="000057B6"/>
    <w:rsid w:val="00007892"/>
    <w:rsid w:val="000103A3"/>
    <w:rsid w:val="00010A26"/>
    <w:rsid w:val="00011192"/>
    <w:rsid w:val="00012319"/>
    <w:rsid w:val="000137DD"/>
    <w:rsid w:val="00014034"/>
    <w:rsid w:val="00014623"/>
    <w:rsid w:val="00015979"/>
    <w:rsid w:val="00016528"/>
    <w:rsid w:val="00016865"/>
    <w:rsid w:val="0002060D"/>
    <w:rsid w:val="00021565"/>
    <w:rsid w:val="000217A4"/>
    <w:rsid w:val="00023FBB"/>
    <w:rsid w:val="00024592"/>
    <w:rsid w:val="00025D06"/>
    <w:rsid w:val="0003085A"/>
    <w:rsid w:val="00030DA1"/>
    <w:rsid w:val="00031D76"/>
    <w:rsid w:val="00032C1A"/>
    <w:rsid w:val="00033FBD"/>
    <w:rsid w:val="00037E1F"/>
    <w:rsid w:val="000403CC"/>
    <w:rsid w:val="000403E6"/>
    <w:rsid w:val="000412BC"/>
    <w:rsid w:val="000416BA"/>
    <w:rsid w:val="000441AE"/>
    <w:rsid w:val="0004550F"/>
    <w:rsid w:val="00046ABC"/>
    <w:rsid w:val="0005075D"/>
    <w:rsid w:val="00050B20"/>
    <w:rsid w:val="00052813"/>
    <w:rsid w:val="00053658"/>
    <w:rsid w:val="00057913"/>
    <w:rsid w:val="00063B83"/>
    <w:rsid w:val="00064B78"/>
    <w:rsid w:val="00064CED"/>
    <w:rsid w:val="00065456"/>
    <w:rsid w:val="00067460"/>
    <w:rsid w:val="0007284D"/>
    <w:rsid w:val="0007344C"/>
    <w:rsid w:val="000740DC"/>
    <w:rsid w:val="00075293"/>
    <w:rsid w:val="00076455"/>
    <w:rsid w:val="000768CC"/>
    <w:rsid w:val="00077A29"/>
    <w:rsid w:val="00080774"/>
    <w:rsid w:val="00081112"/>
    <w:rsid w:val="00081E93"/>
    <w:rsid w:val="00085A38"/>
    <w:rsid w:val="00086074"/>
    <w:rsid w:val="000907C3"/>
    <w:rsid w:val="000915E6"/>
    <w:rsid w:val="0009197F"/>
    <w:rsid w:val="00092D02"/>
    <w:rsid w:val="00092D37"/>
    <w:rsid w:val="00097850"/>
    <w:rsid w:val="000A14F4"/>
    <w:rsid w:val="000A2249"/>
    <w:rsid w:val="000A2792"/>
    <w:rsid w:val="000A40F0"/>
    <w:rsid w:val="000B06E2"/>
    <w:rsid w:val="000B0F12"/>
    <w:rsid w:val="000B2196"/>
    <w:rsid w:val="000B2A32"/>
    <w:rsid w:val="000B32A0"/>
    <w:rsid w:val="000B42D8"/>
    <w:rsid w:val="000B4732"/>
    <w:rsid w:val="000B5679"/>
    <w:rsid w:val="000B659F"/>
    <w:rsid w:val="000B6D2C"/>
    <w:rsid w:val="000B7C81"/>
    <w:rsid w:val="000C0770"/>
    <w:rsid w:val="000C1279"/>
    <w:rsid w:val="000C7EF5"/>
    <w:rsid w:val="000D0CE1"/>
    <w:rsid w:val="000D49F1"/>
    <w:rsid w:val="000D4EB5"/>
    <w:rsid w:val="000D54EE"/>
    <w:rsid w:val="000D56FF"/>
    <w:rsid w:val="000D77A6"/>
    <w:rsid w:val="000E072D"/>
    <w:rsid w:val="000E0910"/>
    <w:rsid w:val="000E132A"/>
    <w:rsid w:val="000E1F50"/>
    <w:rsid w:val="000E2632"/>
    <w:rsid w:val="000E3410"/>
    <w:rsid w:val="000E6942"/>
    <w:rsid w:val="000E6E0E"/>
    <w:rsid w:val="000E7265"/>
    <w:rsid w:val="000E75D2"/>
    <w:rsid w:val="000E7CCC"/>
    <w:rsid w:val="000F085D"/>
    <w:rsid w:val="000F27BB"/>
    <w:rsid w:val="000F398C"/>
    <w:rsid w:val="000F3AEB"/>
    <w:rsid w:val="000F519F"/>
    <w:rsid w:val="000F61CF"/>
    <w:rsid w:val="000F6BC6"/>
    <w:rsid w:val="000F6E1E"/>
    <w:rsid w:val="000F758A"/>
    <w:rsid w:val="0010093C"/>
    <w:rsid w:val="00102CBB"/>
    <w:rsid w:val="0010339C"/>
    <w:rsid w:val="00105396"/>
    <w:rsid w:val="00106C19"/>
    <w:rsid w:val="00107390"/>
    <w:rsid w:val="00111D39"/>
    <w:rsid w:val="00112C63"/>
    <w:rsid w:val="00115B6C"/>
    <w:rsid w:val="0012158F"/>
    <w:rsid w:val="0012172F"/>
    <w:rsid w:val="00121ABA"/>
    <w:rsid w:val="00122DFC"/>
    <w:rsid w:val="00123789"/>
    <w:rsid w:val="001252D9"/>
    <w:rsid w:val="0012591D"/>
    <w:rsid w:val="001259C3"/>
    <w:rsid w:val="00125BF4"/>
    <w:rsid w:val="001270C3"/>
    <w:rsid w:val="00127303"/>
    <w:rsid w:val="00127C0B"/>
    <w:rsid w:val="001305BA"/>
    <w:rsid w:val="001310DC"/>
    <w:rsid w:val="00131970"/>
    <w:rsid w:val="00133138"/>
    <w:rsid w:val="00134535"/>
    <w:rsid w:val="001347D0"/>
    <w:rsid w:val="00134D96"/>
    <w:rsid w:val="00135C83"/>
    <w:rsid w:val="001362A6"/>
    <w:rsid w:val="00137CF0"/>
    <w:rsid w:val="00137E0A"/>
    <w:rsid w:val="0014202B"/>
    <w:rsid w:val="001426D3"/>
    <w:rsid w:val="001430E5"/>
    <w:rsid w:val="001434F9"/>
    <w:rsid w:val="00144565"/>
    <w:rsid w:val="0014511E"/>
    <w:rsid w:val="0014557B"/>
    <w:rsid w:val="0014573E"/>
    <w:rsid w:val="001465F3"/>
    <w:rsid w:val="001467E6"/>
    <w:rsid w:val="00146AAA"/>
    <w:rsid w:val="00146F10"/>
    <w:rsid w:val="001472D1"/>
    <w:rsid w:val="001519B1"/>
    <w:rsid w:val="001522B7"/>
    <w:rsid w:val="00152B12"/>
    <w:rsid w:val="00153A28"/>
    <w:rsid w:val="001547F8"/>
    <w:rsid w:val="0015557B"/>
    <w:rsid w:val="00155C40"/>
    <w:rsid w:val="00157D2D"/>
    <w:rsid w:val="00160637"/>
    <w:rsid w:val="001629B6"/>
    <w:rsid w:val="001638BC"/>
    <w:rsid w:val="00166C5A"/>
    <w:rsid w:val="00170710"/>
    <w:rsid w:val="00170F19"/>
    <w:rsid w:val="00171CB7"/>
    <w:rsid w:val="00171E31"/>
    <w:rsid w:val="00175058"/>
    <w:rsid w:val="001757BA"/>
    <w:rsid w:val="00175CCE"/>
    <w:rsid w:val="00177756"/>
    <w:rsid w:val="001804B5"/>
    <w:rsid w:val="00181387"/>
    <w:rsid w:val="00181D11"/>
    <w:rsid w:val="00184794"/>
    <w:rsid w:val="00184827"/>
    <w:rsid w:val="00184D16"/>
    <w:rsid w:val="001852C6"/>
    <w:rsid w:val="001853C4"/>
    <w:rsid w:val="00185A3A"/>
    <w:rsid w:val="00190631"/>
    <w:rsid w:val="00190925"/>
    <w:rsid w:val="00191878"/>
    <w:rsid w:val="00191B5D"/>
    <w:rsid w:val="001935DC"/>
    <w:rsid w:val="00195161"/>
    <w:rsid w:val="00195501"/>
    <w:rsid w:val="001977DC"/>
    <w:rsid w:val="001A0A45"/>
    <w:rsid w:val="001A2A94"/>
    <w:rsid w:val="001A337B"/>
    <w:rsid w:val="001A3872"/>
    <w:rsid w:val="001A51B9"/>
    <w:rsid w:val="001A55B0"/>
    <w:rsid w:val="001A6D9C"/>
    <w:rsid w:val="001A77AB"/>
    <w:rsid w:val="001B08E5"/>
    <w:rsid w:val="001B0F89"/>
    <w:rsid w:val="001B123A"/>
    <w:rsid w:val="001B63A6"/>
    <w:rsid w:val="001B6E2A"/>
    <w:rsid w:val="001C0341"/>
    <w:rsid w:val="001C202E"/>
    <w:rsid w:val="001C41E6"/>
    <w:rsid w:val="001C7120"/>
    <w:rsid w:val="001C7DC7"/>
    <w:rsid w:val="001D2999"/>
    <w:rsid w:val="001D45E9"/>
    <w:rsid w:val="001D5320"/>
    <w:rsid w:val="001D577E"/>
    <w:rsid w:val="001D6AC0"/>
    <w:rsid w:val="001D77C2"/>
    <w:rsid w:val="001D7E4B"/>
    <w:rsid w:val="001E0406"/>
    <w:rsid w:val="001E084C"/>
    <w:rsid w:val="001E1A48"/>
    <w:rsid w:val="001E2A19"/>
    <w:rsid w:val="001E2CB5"/>
    <w:rsid w:val="001E3948"/>
    <w:rsid w:val="001E3D8A"/>
    <w:rsid w:val="001E4FAA"/>
    <w:rsid w:val="001E5D77"/>
    <w:rsid w:val="001E5E58"/>
    <w:rsid w:val="001E6144"/>
    <w:rsid w:val="001E621A"/>
    <w:rsid w:val="001F0154"/>
    <w:rsid w:val="001F03D6"/>
    <w:rsid w:val="001F06E4"/>
    <w:rsid w:val="001F0B70"/>
    <w:rsid w:val="001F1FC2"/>
    <w:rsid w:val="001F2257"/>
    <w:rsid w:val="001F2A32"/>
    <w:rsid w:val="001F2F71"/>
    <w:rsid w:val="001F351D"/>
    <w:rsid w:val="001F4948"/>
    <w:rsid w:val="001F5A46"/>
    <w:rsid w:val="001F5CAE"/>
    <w:rsid w:val="001F68AD"/>
    <w:rsid w:val="001F6B47"/>
    <w:rsid w:val="00200F0E"/>
    <w:rsid w:val="00204CBE"/>
    <w:rsid w:val="00205140"/>
    <w:rsid w:val="0020541C"/>
    <w:rsid w:val="002058ED"/>
    <w:rsid w:val="00206655"/>
    <w:rsid w:val="00206B41"/>
    <w:rsid w:val="00210A03"/>
    <w:rsid w:val="0021237A"/>
    <w:rsid w:val="00212D0C"/>
    <w:rsid w:val="002139C4"/>
    <w:rsid w:val="00213F7E"/>
    <w:rsid w:val="00214261"/>
    <w:rsid w:val="0022101B"/>
    <w:rsid w:val="0022373C"/>
    <w:rsid w:val="00223932"/>
    <w:rsid w:val="00225F52"/>
    <w:rsid w:val="00226476"/>
    <w:rsid w:val="00226F27"/>
    <w:rsid w:val="00230B45"/>
    <w:rsid w:val="00233094"/>
    <w:rsid w:val="00235EB5"/>
    <w:rsid w:val="0023714E"/>
    <w:rsid w:val="002426E3"/>
    <w:rsid w:val="00242ABF"/>
    <w:rsid w:val="002439A2"/>
    <w:rsid w:val="002458F0"/>
    <w:rsid w:val="002466F4"/>
    <w:rsid w:val="00247D23"/>
    <w:rsid w:val="00254636"/>
    <w:rsid w:val="00255FDB"/>
    <w:rsid w:val="00256374"/>
    <w:rsid w:val="00256F2F"/>
    <w:rsid w:val="0026502E"/>
    <w:rsid w:val="0026562F"/>
    <w:rsid w:val="00265837"/>
    <w:rsid w:val="00266E0B"/>
    <w:rsid w:val="00271158"/>
    <w:rsid w:val="00271ABF"/>
    <w:rsid w:val="00273CE0"/>
    <w:rsid w:val="0027432D"/>
    <w:rsid w:val="002743A4"/>
    <w:rsid w:val="00274609"/>
    <w:rsid w:val="0027609A"/>
    <w:rsid w:val="00277B2A"/>
    <w:rsid w:val="00280627"/>
    <w:rsid w:val="00281389"/>
    <w:rsid w:val="00283EB7"/>
    <w:rsid w:val="00284C6D"/>
    <w:rsid w:val="002853E0"/>
    <w:rsid w:val="00285A59"/>
    <w:rsid w:val="00285B77"/>
    <w:rsid w:val="002869FF"/>
    <w:rsid w:val="00290804"/>
    <w:rsid w:val="00293E30"/>
    <w:rsid w:val="0029550A"/>
    <w:rsid w:val="002A05AD"/>
    <w:rsid w:val="002A145F"/>
    <w:rsid w:val="002A1FF8"/>
    <w:rsid w:val="002A2436"/>
    <w:rsid w:val="002A27B2"/>
    <w:rsid w:val="002A3831"/>
    <w:rsid w:val="002A40C9"/>
    <w:rsid w:val="002A5FBE"/>
    <w:rsid w:val="002A69C6"/>
    <w:rsid w:val="002B153D"/>
    <w:rsid w:val="002B212A"/>
    <w:rsid w:val="002B23C8"/>
    <w:rsid w:val="002B27D9"/>
    <w:rsid w:val="002B29CA"/>
    <w:rsid w:val="002B3F76"/>
    <w:rsid w:val="002B50FF"/>
    <w:rsid w:val="002C1C1F"/>
    <w:rsid w:val="002C2084"/>
    <w:rsid w:val="002C24E9"/>
    <w:rsid w:val="002C3850"/>
    <w:rsid w:val="002C3A83"/>
    <w:rsid w:val="002C583A"/>
    <w:rsid w:val="002C61D4"/>
    <w:rsid w:val="002C66E6"/>
    <w:rsid w:val="002D0B17"/>
    <w:rsid w:val="002D2214"/>
    <w:rsid w:val="002D22E6"/>
    <w:rsid w:val="002D258D"/>
    <w:rsid w:val="002D390C"/>
    <w:rsid w:val="002D3FE1"/>
    <w:rsid w:val="002D44BB"/>
    <w:rsid w:val="002D4B60"/>
    <w:rsid w:val="002D576F"/>
    <w:rsid w:val="002D57D9"/>
    <w:rsid w:val="002D58F6"/>
    <w:rsid w:val="002E16F0"/>
    <w:rsid w:val="002E3780"/>
    <w:rsid w:val="002E5A77"/>
    <w:rsid w:val="002E64DA"/>
    <w:rsid w:val="002E65ED"/>
    <w:rsid w:val="002E719D"/>
    <w:rsid w:val="002E71F4"/>
    <w:rsid w:val="002E7F0B"/>
    <w:rsid w:val="002F097C"/>
    <w:rsid w:val="002F1498"/>
    <w:rsid w:val="002F28E0"/>
    <w:rsid w:val="002F2BC3"/>
    <w:rsid w:val="002F33DE"/>
    <w:rsid w:val="002F3791"/>
    <w:rsid w:val="002F4F7D"/>
    <w:rsid w:val="002F5A8B"/>
    <w:rsid w:val="002F63BC"/>
    <w:rsid w:val="002F6505"/>
    <w:rsid w:val="00301B78"/>
    <w:rsid w:val="00301E9D"/>
    <w:rsid w:val="0030312C"/>
    <w:rsid w:val="003059AB"/>
    <w:rsid w:val="0030600D"/>
    <w:rsid w:val="00307C1F"/>
    <w:rsid w:val="00307D93"/>
    <w:rsid w:val="00310AF4"/>
    <w:rsid w:val="003165AD"/>
    <w:rsid w:val="00316742"/>
    <w:rsid w:val="00316824"/>
    <w:rsid w:val="00316A67"/>
    <w:rsid w:val="003172E5"/>
    <w:rsid w:val="00317C03"/>
    <w:rsid w:val="003226E6"/>
    <w:rsid w:val="00323085"/>
    <w:rsid w:val="00323435"/>
    <w:rsid w:val="003239B0"/>
    <w:rsid w:val="003240E3"/>
    <w:rsid w:val="00325611"/>
    <w:rsid w:val="003256B0"/>
    <w:rsid w:val="0033007B"/>
    <w:rsid w:val="00330245"/>
    <w:rsid w:val="003323D7"/>
    <w:rsid w:val="00333419"/>
    <w:rsid w:val="003359E8"/>
    <w:rsid w:val="00337B68"/>
    <w:rsid w:val="003444D7"/>
    <w:rsid w:val="00345FB6"/>
    <w:rsid w:val="00346059"/>
    <w:rsid w:val="00352F2F"/>
    <w:rsid w:val="00353CA8"/>
    <w:rsid w:val="0035510C"/>
    <w:rsid w:val="003601CD"/>
    <w:rsid w:val="0036100D"/>
    <w:rsid w:val="00362E88"/>
    <w:rsid w:val="003632B9"/>
    <w:rsid w:val="003634EA"/>
    <w:rsid w:val="003648EC"/>
    <w:rsid w:val="00364D95"/>
    <w:rsid w:val="00365557"/>
    <w:rsid w:val="00365790"/>
    <w:rsid w:val="0036597B"/>
    <w:rsid w:val="0036753E"/>
    <w:rsid w:val="003723EE"/>
    <w:rsid w:val="003726F5"/>
    <w:rsid w:val="003732A7"/>
    <w:rsid w:val="003732BB"/>
    <w:rsid w:val="00373C87"/>
    <w:rsid w:val="00374523"/>
    <w:rsid w:val="00374DE6"/>
    <w:rsid w:val="00375F28"/>
    <w:rsid w:val="00377FD3"/>
    <w:rsid w:val="00380614"/>
    <w:rsid w:val="003833B2"/>
    <w:rsid w:val="00383BEA"/>
    <w:rsid w:val="00385C7A"/>
    <w:rsid w:val="0038630E"/>
    <w:rsid w:val="0038782B"/>
    <w:rsid w:val="00387FC9"/>
    <w:rsid w:val="00387FD0"/>
    <w:rsid w:val="00394731"/>
    <w:rsid w:val="00394B90"/>
    <w:rsid w:val="00394CE3"/>
    <w:rsid w:val="00395F0B"/>
    <w:rsid w:val="00396A7E"/>
    <w:rsid w:val="003978E2"/>
    <w:rsid w:val="003A0118"/>
    <w:rsid w:val="003A0CD2"/>
    <w:rsid w:val="003A1E21"/>
    <w:rsid w:val="003A2AE4"/>
    <w:rsid w:val="003A2B04"/>
    <w:rsid w:val="003A3C1F"/>
    <w:rsid w:val="003A5DCF"/>
    <w:rsid w:val="003A5E13"/>
    <w:rsid w:val="003A6A4C"/>
    <w:rsid w:val="003A7802"/>
    <w:rsid w:val="003A7F1E"/>
    <w:rsid w:val="003B05F9"/>
    <w:rsid w:val="003B0FE4"/>
    <w:rsid w:val="003B180D"/>
    <w:rsid w:val="003B1840"/>
    <w:rsid w:val="003B2CF3"/>
    <w:rsid w:val="003B348E"/>
    <w:rsid w:val="003B3F75"/>
    <w:rsid w:val="003B4680"/>
    <w:rsid w:val="003B4A96"/>
    <w:rsid w:val="003B73A6"/>
    <w:rsid w:val="003B759C"/>
    <w:rsid w:val="003B7C72"/>
    <w:rsid w:val="003C145C"/>
    <w:rsid w:val="003C3B4A"/>
    <w:rsid w:val="003C3C0F"/>
    <w:rsid w:val="003C4903"/>
    <w:rsid w:val="003C49B3"/>
    <w:rsid w:val="003C592F"/>
    <w:rsid w:val="003C722D"/>
    <w:rsid w:val="003C7E99"/>
    <w:rsid w:val="003D0F8B"/>
    <w:rsid w:val="003D1643"/>
    <w:rsid w:val="003D1D9E"/>
    <w:rsid w:val="003D1DDA"/>
    <w:rsid w:val="003D292A"/>
    <w:rsid w:val="003D29BF"/>
    <w:rsid w:val="003D2A3C"/>
    <w:rsid w:val="003D2D60"/>
    <w:rsid w:val="003D2DCC"/>
    <w:rsid w:val="003D3061"/>
    <w:rsid w:val="003D35EA"/>
    <w:rsid w:val="003D471F"/>
    <w:rsid w:val="003D4DF6"/>
    <w:rsid w:val="003D56A7"/>
    <w:rsid w:val="003D5C11"/>
    <w:rsid w:val="003D5F61"/>
    <w:rsid w:val="003D6939"/>
    <w:rsid w:val="003E025B"/>
    <w:rsid w:val="003E0C5A"/>
    <w:rsid w:val="003E2864"/>
    <w:rsid w:val="003E2964"/>
    <w:rsid w:val="003E39D6"/>
    <w:rsid w:val="003E4B1B"/>
    <w:rsid w:val="003E4E05"/>
    <w:rsid w:val="003E5108"/>
    <w:rsid w:val="003E56BF"/>
    <w:rsid w:val="003F1C7B"/>
    <w:rsid w:val="003F2056"/>
    <w:rsid w:val="003F2E6D"/>
    <w:rsid w:val="003F3058"/>
    <w:rsid w:val="003F3CB5"/>
    <w:rsid w:val="003F52D8"/>
    <w:rsid w:val="003F561E"/>
    <w:rsid w:val="0040005C"/>
    <w:rsid w:val="004039B7"/>
    <w:rsid w:val="004060B9"/>
    <w:rsid w:val="00406C81"/>
    <w:rsid w:val="00407FA2"/>
    <w:rsid w:val="00413451"/>
    <w:rsid w:val="004139F7"/>
    <w:rsid w:val="004145FA"/>
    <w:rsid w:val="00420135"/>
    <w:rsid w:val="0042013F"/>
    <w:rsid w:val="00421D5D"/>
    <w:rsid w:val="004226B1"/>
    <w:rsid w:val="00422C0F"/>
    <w:rsid w:val="00423328"/>
    <w:rsid w:val="00423661"/>
    <w:rsid w:val="00423869"/>
    <w:rsid w:val="00423A49"/>
    <w:rsid w:val="00423B4F"/>
    <w:rsid w:val="00424A74"/>
    <w:rsid w:val="00424D1C"/>
    <w:rsid w:val="00425720"/>
    <w:rsid w:val="00425A2E"/>
    <w:rsid w:val="00425BF0"/>
    <w:rsid w:val="00426122"/>
    <w:rsid w:val="00426C92"/>
    <w:rsid w:val="00427166"/>
    <w:rsid w:val="00430ED4"/>
    <w:rsid w:val="004312C5"/>
    <w:rsid w:val="00431BB8"/>
    <w:rsid w:val="00431E09"/>
    <w:rsid w:val="00432324"/>
    <w:rsid w:val="00432364"/>
    <w:rsid w:val="00433A8E"/>
    <w:rsid w:val="00433B08"/>
    <w:rsid w:val="004342FD"/>
    <w:rsid w:val="004346A3"/>
    <w:rsid w:val="00440361"/>
    <w:rsid w:val="004405AC"/>
    <w:rsid w:val="004415EE"/>
    <w:rsid w:val="0044235C"/>
    <w:rsid w:val="00446B55"/>
    <w:rsid w:val="0044738D"/>
    <w:rsid w:val="00450048"/>
    <w:rsid w:val="00451B8A"/>
    <w:rsid w:val="00451EF3"/>
    <w:rsid w:val="00452A18"/>
    <w:rsid w:val="00453BA1"/>
    <w:rsid w:val="00453EBC"/>
    <w:rsid w:val="00455501"/>
    <w:rsid w:val="00456614"/>
    <w:rsid w:val="004569EA"/>
    <w:rsid w:val="00456F95"/>
    <w:rsid w:val="00457532"/>
    <w:rsid w:val="00462492"/>
    <w:rsid w:val="004628CC"/>
    <w:rsid w:val="00462AE1"/>
    <w:rsid w:val="00462D18"/>
    <w:rsid w:val="00462D7F"/>
    <w:rsid w:val="00463BE9"/>
    <w:rsid w:val="00464A0C"/>
    <w:rsid w:val="00464C1F"/>
    <w:rsid w:val="00465ED0"/>
    <w:rsid w:val="0046669E"/>
    <w:rsid w:val="00471236"/>
    <w:rsid w:val="00472278"/>
    <w:rsid w:val="0047286D"/>
    <w:rsid w:val="00472D03"/>
    <w:rsid w:val="00474915"/>
    <w:rsid w:val="00477278"/>
    <w:rsid w:val="00480F64"/>
    <w:rsid w:val="00481A00"/>
    <w:rsid w:val="00481A3B"/>
    <w:rsid w:val="0048305E"/>
    <w:rsid w:val="004837DD"/>
    <w:rsid w:val="0048474E"/>
    <w:rsid w:val="00490AED"/>
    <w:rsid w:val="00491F23"/>
    <w:rsid w:val="004920E8"/>
    <w:rsid w:val="00495247"/>
    <w:rsid w:val="00496413"/>
    <w:rsid w:val="00496745"/>
    <w:rsid w:val="004975F5"/>
    <w:rsid w:val="004A14BD"/>
    <w:rsid w:val="004A1618"/>
    <w:rsid w:val="004A1BA0"/>
    <w:rsid w:val="004A1FEB"/>
    <w:rsid w:val="004A2AF9"/>
    <w:rsid w:val="004A3D26"/>
    <w:rsid w:val="004A3DD8"/>
    <w:rsid w:val="004A422F"/>
    <w:rsid w:val="004A70B5"/>
    <w:rsid w:val="004A71B5"/>
    <w:rsid w:val="004A7A8F"/>
    <w:rsid w:val="004B2288"/>
    <w:rsid w:val="004B2714"/>
    <w:rsid w:val="004B2CB1"/>
    <w:rsid w:val="004B3EE3"/>
    <w:rsid w:val="004B4B7B"/>
    <w:rsid w:val="004B5087"/>
    <w:rsid w:val="004C109C"/>
    <w:rsid w:val="004C171E"/>
    <w:rsid w:val="004C2A40"/>
    <w:rsid w:val="004C4B5A"/>
    <w:rsid w:val="004C6384"/>
    <w:rsid w:val="004C66C9"/>
    <w:rsid w:val="004C6C0E"/>
    <w:rsid w:val="004C7BA9"/>
    <w:rsid w:val="004D1FCC"/>
    <w:rsid w:val="004D43A1"/>
    <w:rsid w:val="004D4685"/>
    <w:rsid w:val="004D5696"/>
    <w:rsid w:val="004D6CD8"/>
    <w:rsid w:val="004D6E7F"/>
    <w:rsid w:val="004E0A50"/>
    <w:rsid w:val="004E10DF"/>
    <w:rsid w:val="004E1A3A"/>
    <w:rsid w:val="004E1EC1"/>
    <w:rsid w:val="004E23F6"/>
    <w:rsid w:val="004E3C29"/>
    <w:rsid w:val="004E55FF"/>
    <w:rsid w:val="004E5DA8"/>
    <w:rsid w:val="004E65CA"/>
    <w:rsid w:val="004E7184"/>
    <w:rsid w:val="004E71DE"/>
    <w:rsid w:val="004E72FD"/>
    <w:rsid w:val="004E7B2B"/>
    <w:rsid w:val="004E7E6C"/>
    <w:rsid w:val="004F0DFB"/>
    <w:rsid w:val="004F2BFC"/>
    <w:rsid w:val="004F34B1"/>
    <w:rsid w:val="004F4F54"/>
    <w:rsid w:val="004F59DA"/>
    <w:rsid w:val="004F741E"/>
    <w:rsid w:val="005008E9"/>
    <w:rsid w:val="00500BEE"/>
    <w:rsid w:val="00500E0E"/>
    <w:rsid w:val="00504232"/>
    <w:rsid w:val="0051025B"/>
    <w:rsid w:val="0051074D"/>
    <w:rsid w:val="00510B20"/>
    <w:rsid w:val="00512C66"/>
    <w:rsid w:val="00512FAA"/>
    <w:rsid w:val="00513F03"/>
    <w:rsid w:val="00514C58"/>
    <w:rsid w:val="00514D9A"/>
    <w:rsid w:val="0051606F"/>
    <w:rsid w:val="00516145"/>
    <w:rsid w:val="00516CE8"/>
    <w:rsid w:val="00517B23"/>
    <w:rsid w:val="00520F91"/>
    <w:rsid w:val="00522F93"/>
    <w:rsid w:val="00523B61"/>
    <w:rsid w:val="00523EC2"/>
    <w:rsid w:val="0052437B"/>
    <w:rsid w:val="005302C6"/>
    <w:rsid w:val="005313F5"/>
    <w:rsid w:val="00537407"/>
    <w:rsid w:val="00537E85"/>
    <w:rsid w:val="005405BB"/>
    <w:rsid w:val="00541337"/>
    <w:rsid w:val="0054150B"/>
    <w:rsid w:val="00541C87"/>
    <w:rsid w:val="00542239"/>
    <w:rsid w:val="00542530"/>
    <w:rsid w:val="0054271C"/>
    <w:rsid w:val="00543E3D"/>
    <w:rsid w:val="005472AD"/>
    <w:rsid w:val="005512F3"/>
    <w:rsid w:val="0055219D"/>
    <w:rsid w:val="00552F3C"/>
    <w:rsid w:val="00555279"/>
    <w:rsid w:val="005555E8"/>
    <w:rsid w:val="00556977"/>
    <w:rsid w:val="00557BAB"/>
    <w:rsid w:val="0056146C"/>
    <w:rsid w:val="00562622"/>
    <w:rsid w:val="0056579E"/>
    <w:rsid w:val="00565DF9"/>
    <w:rsid w:val="00565F40"/>
    <w:rsid w:val="00566748"/>
    <w:rsid w:val="00566BB7"/>
    <w:rsid w:val="00567441"/>
    <w:rsid w:val="005674BF"/>
    <w:rsid w:val="00567F4F"/>
    <w:rsid w:val="005717C2"/>
    <w:rsid w:val="00571EAF"/>
    <w:rsid w:val="0057201E"/>
    <w:rsid w:val="0057209A"/>
    <w:rsid w:val="00572A9C"/>
    <w:rsid w:val="00573398"/>
    <w:rsid w:val="0057340B"/>
    <w:rsid w:val="005753CB"/>
    <w:rsid w:val="0057626C"/>
    <w:rsid w:val="00582256"/>
    <w:rsid w:val="00584BF6"/>
    <w:rsid w:val="005851C3"/>
    <w:rsid w:val="0058558A"/>
    <w:rsid w:val="00585CB1"/>
    <w:rsid w:val="0058695F"/>
    <w:rsid w:val="0059067A"/>
    <w:rsid w:val="00590A8A"/>
    <w:rsid w:val="00590B4C"/>
    <w:rsid w:val="00591008"/>
    <w:rsid w:val="00591EBC"/>
    <w:rsid w:val="0059276B"/>
    <w:rsid w:val="00593752"/>
    <w:rsid w:val="00593A9B"/>
    <w:rsid w:val="00593D27"/>
    <w:rsid w:val="00594A06"/>
    <w:rsid w:val="005955AE"/>
    <w:rsid w:val="005957F5"/>
    <w:rsid w:val="00596582"/>
    <w:rsid w:val="00596921"/>
    <w:rsid w:val="005A0ACE"/>
    <w:rsid w:val="005A1EE1"/>
    <w:rsid w:val="005A5312"/>
    <w:rsid w:val="005A5995"/>
    <w:rsid w:val="005A6B3A"/>
    <w:rsid w:val="005A6FE0"/>
    <w:rsid w:val="005B08F2"/>
    <w:rsid w:val="005B1469"/>
    <w:rsid w:val="005B178D"/>
    <w:rsid w:val="005B3771"/>
    <w:rsid w:val="005B3779"/>
    <w:rsid w:val="005B43F2"/>
    <w:rsid w:val="005B6D6C"/>
    <w:rsid w:val="005B7785"/>
    <w:rsid w:val="005B7BFA"/>
    <w:rsid w:val="005B7C7D"/>
    <w:rsid w:val="005C0419"/>
    <w:rsid w:val="005C08FE"/>
    <w:rsid w:val="005C0F26"/>
    <w:rsid w:val="005C1107"/>
    <w:rsid w:val="005C1D21"/>
    <w:rsid w:val="005C225D"/>
    <w:rsid w:val="005C344F"/>
    <w:rsid w:val="005C380C"/>
    <w:rsid w:val="005C4385"/>
    <w:rsid w:val="005C57B0"/>
    <w:rsid w:val="005C6354"/>
    <w:rsid w:val="005C78C7"/>
    <w:rsid w:val="005D035C"/>
    <w:rsid w:val="005D0C88"/>
    <w:rsid w:val="005D15BD"/>
    <w:rsid w:val="005D2CE1"/>
    <w:rsid w:val="005D374D"/>
    <w:rsid w:val="005D52B3"/>
    <w:rsid w:val="005D6549"/>
    <w:rsid w:val="005D68D2"/>
    <w:rsid w:val="005D6B44"/>
    <w:rsid w:val="005D710A"/>
    <w:rsid w:val="005E06D7"/>
    <w:rsid w:val="005E2424"/>
    <w:rsid w:val="005E31D0"/>
    <w:rsid w:val="005E3FE1"/>
    <w:rsid w:val="005E4563"/>
    <w:rsid w:val="005E4B8A"/>
    <w:rsid w:val="005E759C"/>
    <w:rsid w:val="005F140D"/>
    <w:rsid w:val="005F2D6A"/>
    <w:rsid w:val="005F3F13"/>
    <w:rsid w:val="005F3F9F"/>
    <w:rsid w:val="005F582A"/>
    <w:rsid w:val="005F592F"/>
    <w:rsid w:val="005F65F9"/>
    <w:rsid w:val="005F7706"/>
    <w:rsid w:val="0060043B"/>
    <w:rsid w:val="0060182A"/>
    <w:rsid w:val="00601B1E"/>
    <w:rsid w:val="00603511"/>
    <w:rsid w:val="00603654"/>
    <w:rsid w:val="00603FB1"/>
    <w:rsid w:val="006045C9"/>
    <w:rsid w:val="00606196"/>
    <w:rsid w:val="00606406"/>
    <w:rsid w:val="00606652"/>
    <w:rsid w:val="00607CB5"/>
    <w:rsid w:val="00610EDD"/>
    <w:rsid w:val="0061278C"/>
    <w:rsid w:val="00613079"/>
    <w:rsid w:val="006140C0"/>
    <w:rsid w:val="00614259"/>
    <w:rsid w:val="00617219"/>
    <w:rsid w:val="006178F2"/>
    <w:rsid w:val="00621FA3"/>
    <w:rsid w:val="0062269D"/>
    <w:rsid w:val="00624C4E"/>
    <w:rsid w:val="0062551C"/>
    <w:rsid w:val="00625569"/>
    <w:rsid w:val="0063177A"/>
    <w:rsid w:val="006323AB"/>
    <w:rsid w:val="00634996"/>
    <w:rsid w:val="006427C5"/>
    <w:rsid w:val="00642F4D"/>
    <w:rsid w:val="0064445C"/>
    <w:rsid w:val="00645430"/>
    <w:rsid w:val="00646982"/>
    <w:rsid w:val="0064704B"/>
    <w:rsid w:val="00647388"/>
    <w:rsid w:val="00647AA7"/>
    <w:rsid w:val="0065242B"/>
    <w:rsid w:val="00653353"/>
    <w:rsid w:val="00653D53"/>
    <w:rsid w:val="00654873"/>
    <w:rsid w:val="006558E7"/>
    <w:rsid w:val="00657288"/>
    <w:rsid w:val="006607FD"/>
    <w:rsid w:val="006608E3"/>
    <w:rsid w:val="00660A75"/>
    <w:rsid w:val="006615C2"/>
    <w:rsid w:val="00662A4C"/>
    <w:rsid w:val="0066461B"/>
    <w:rsid w:val="0066490C"/>
    <w:rsid w:val="00666AC2"/>
    <w:rsid w:val="00666E8B"/>
    <w:rsid w:val="00667536"/>
    <w:rsid w:val="00671EC0"/>
    <w:rsid w:val="00672CEE"/>
    <w:rsid w:val="006747DB"/>
    <w:rsid w:val="00674848"/>
    <w:rsid w:val="00674DE6"/>
    <w:rsid w:val="00675291"/>
    <w:rsid w:val="006775CC"/>
    <w:rsid w:val="0068059F"/>
    <w:rsid w:val="0068115E"/>
    <w:rsid w:val="00681D5E"/>
    <w:rsid w:val="00682236"/>
    <w:rsid w:val="006822F9"/>
    <w:rsid w:val="00684D2B"/>
    <w:rsid w:val="006859CE"/>
    <w:rsid w:val="00686C1C"/>
    <w:rsid w:val="00691E05"/>
    <w:rsid w:val="00691F96"/>
    <w:rsid w:val="00692269"/>
    <w:rsid w:val="00694E86"/>
    <w:rsid w:val="006952A8"/>
    <w:rsid w:val="0069695F"/>
    <w:rsid w:val="00696EE5"/>
    <w:rsid w:val="006A03C4"/>
    <w:rsid w:val="006A307F"/>
    <w:rsid w:val="006A4765"/>
    <w:rsid w:val="006A527C"/>
    <w:rsid w:val="006A600D"/>
    <w:rsid w:val="006A6A96"/>
    <w:rsid w:val="006B0213"/>
    <w:rsid w:val="006B0F16"/>
    <w:rsid w:val="006B3C7F"/>
    <w:rsid w:val="006B44A8"/>
    <w:rsid w:val="006B48A9"/>
    <w:rsid w:val="006B5D54"/>
    <w:rsid w:val="006B6434"/>
    <w:rsid w:val="006B7ABD"/>
    <w:rsid w:val="006C03DB"/>
    <w:rsid w:val="006C064F"/>
    <w:rsid w:val="006C0C9E"/>
    <w:rsid w:val="006C1C1D"/>
    <w:rsid w:val="006C4E04"/>
    <w:rsid w:val="006C5D46"/>
    <w:rsid w:val="006C6701"/>
    <w:rsid w:val="006C7E01"/>
    <w:rsid w:val="006D00AF"/>
    <w:rsid w:val="006D08C8"/>
    <w:rsid w:val="006D143C"/>
    <w:rsid w:val="006D200A"/>
    <w:rsid w:val="006D2167"/>
    <w:rsid w:val="006D24B2"/>
    <w:rsid w:val="006D2E4F"/>
    <w:rsid w:val="006D3EC1"/>
    <w:rsid w:val="006D47E0"/>
    <w:rsid w:val="006D4E78"/>
    <w:rsid w:val="006D5483"/>
    <w:rsid w:val="006D7293"/>
    <w:rsid w:val="006D777A"/>
    <w:rsid w:val="006D7F0A"/>
    <w:rsid w:val="006E0CAC"/>
    <w:rsid w:val="006E1780"/>
    <w:rsid w:val="006E1E95"/>
    <w:rsid w:val="006E39B2"/>
    <w:rsid w:val="006E482F"/>
    <w:rsid w:val="006E48A0"/>
    <w:rsid w:val="006E4F69"/>
    <w:rsid w:val="006E5FCA"/>
    <w:rsid w:val="006E68CD"/>
    <w:rsid w:val="006E70B7"/>
    <w:rsid w:val="006E799B"/>
    <w:rsid w:val="006E7BFB"/>
    <w:rsid w:val="006F05B6"/>
    <w:rsid w:val="006F07B1"/>
    <w:rsid w:val="006F08DB"/>
    <w:rsid w:val="006F08EA"/>
    <w:rsid w:val="006F09D8"/>
    <w:rsid w:val="006F1BA1"/>
    <w:rsid w:val="006F1F3F"/>
    <w:rsid w:val="006F2D39"/>
    <w:rsid w:val="006F2E2F"/>
    <w:rsid w:val="006F3027"/>
    <w:rsid w:val="006F3936"/>
    <w:rsid w:val="006F4649"/>
    <w:rsid w:val="006F6B62"/>
    <w:rsid w:val="006F7A7C"/>
    <w:rsid w:val="0070060B"/>
    <w:rsid w:val="007009D8"/>
    <w:rsid w:val="00702893"/>
    <w:rsid w:val="00702FDA"/>
    <w:rsid w:val="0070470E"/>
    <w:rsid w:val="00710487"/>
    <w:rsid w:val="00713437"/>
    <w:rsid w:val="00714166"/>
    <w:rsid w:val="00715200"/>
    <w:rsid w:val="00716975"/>
    <w:rsid w:val="00717D8A"/>
    <w:rsid w:val="0072056F"/>
    <w:rsid w:val="0072061E"/>
    <w:rsid w:val="007220DC"/>
    <w:rsid w:val="00722DB7"/>
    <w:rsid w:val="0072325D"/>
    <w:rsid w:val="007237F2"/>
    <w:rsid w:val="00723EAF"/>
    <w:rsid w:val="00725FBF"/>
    <w:rsid w:val="00726207"/>
    <w:rsid w:val="0072691E"/>
    <w:rsid w:val="00726C3A"/>
    <w:rsid w:val="0072739F"/>
    <w:rsid w:val="0073035C"/>
    <w:rsid w:val="00731390"/>
    <w:rsid w:val="00733B86"/>
    <w:rsid w:val="00733F64"/>
    <w:rsid w:val="007342BD"/>
    <w:rsid w:val="00734DBF"/>
    <w:rsid w:val="0073595C"/>
    <w:rsid w:val="007367BF"/>
    <w:rsid w:val="00736CA5"/>
    <w:rsid w:val="007404BF"/>
    <w:rsid w:val="00740ABB"/>
    <w:rsid w:val="007410A8"/>
    <w:rsid w:val="00742BE3"/>
    <w:rsid w:val="00742EEE"/>
    <w:rsid w:val="007433D8"/>
    <w:rsid w:val="00743416"/>
    <w:rsid w:val="00743CEE"/>
    <w:rsid w:val="0074408B"/>
    <w:rsid w:val="00744334"/>
    <w:rsid w:val="0074531D"/>
    <w:rsid w:val="007457D5"/>
    <w:rsid w:val="00745AD9"/>
    <w:rsid w:val="0074691E"/>
    <w:rsid w:val="00746E82"/>
    <w:rsid w:val="007470BA"/>
    <w:rsid w:val="007475DA"/>
    <w:rsid w:val="007502E4"/>
    <w:rsid w:val="00750B80"/>
    <w:rsid w:val="00750F84"/>
    <w:rsid w:val="00751210"/>
    <w:rsid w:val="007528C4"/>
    <w:rsid w:val="0075300C"/>
    <w:rsid w:val="00753E21"/>
    <w:rsid w:val="00754232"/>
    <w:rsid w:val="00756926"/>
    <w:rsid w:val="00756E00"/>
    <w:rsid w:val="00756F1F"/>
    <w:rsid w:val="0075785F"/>
    <w:rsid w:val="00760186"/>
    <w:rsid w:val="00760723"/>
    <w:rsid w:val="007608BB"/>
    <w:rsid w:val="00762251"/>
    <w:rsid w:val="00763F4C"/>
    <w:rsid w:val="00772A35"/>
    <w:rsid w:val="00772E8F"/>
    <w:rsid w:val="0077452B"/>
    <w:rsid w:val="007755BE"/>
    <w:rsid w:val="007756AD"/>
    <w:rsid w:val="00776ABA"/>
    <w:rsid w:val="00776D54"/>
    <w:rsid w:val="007774D8"/>
    <w:rsid w:val="00780535"/>
    <w:rsid w:val="007822AF"/>
    <w:rsid w:val="0078292C"/>
    <w:rsid w:val="00783866"/>
    <w:rsid w:val="00783D30"/>
    <w:rsid w:val="007849AB"/>
    <w:rsid w:val="00784BD5"/>
    <w:rsid w:val="00787B4B"/>
    <w:rsid w:val="00792098"/>
    <w:rsid w:val="0079318A"/>
    <w:rsid w:val="007935B8"/>
    <w:rsid w:val="0079369C"/>
    <w:rsid w:val="00794010"/>
    <w:rsid w:val="00797641"/>
    <w:rsid w:val="0079766B"/>
    <w:rsid w:val="00797D2D"/>
    <w:rsid w:val="00797D80"/>
    <w:rsid w:val="007A06F5"/>
    <w:rsid w:val="007A3921"/>
    <w:rsid w:val="007A3A6D"/>
    <w:rsid w:val="007A49F7"/>
    <w:rsid w:val="007A5DED"/>
    <w:rsid w:val="007A5E68"/>
    <w:rsid w:val="007A7B9E"/>
    <w:rsid w:val="007B03E9"/>
    <w:rsid w:val="007B0D4D"/>
    <w:rsid w:val="007B11B9"/>
    <w:rsid w:val="007B13DE"/>
    <w:rsid w:val="007B174E"/>
    <w:rsid w:val="007B1A14"/>
    <w:rsid w:val="007B3AB0"/>
    <w:rsid w:val="007B58F5"/>
    <w:rsid w:val="007B67E9"/>
    <w:rsid w:val="007B687C"/>
    <w:rsid w:val="007C271E"/>
    <w:rsid w:val="007C2853"/>
    <w:rsid w:val="007C30B0"/>
    <w:rsid w:val="007C3FDF"/>
    <w:rsid w:val="007C5E61"/>
    <w:rsid w:val="007C66E3"/>
    <w:rsid w:val="007D00ED"/>
    <w:rsid w:val="007D0B9B"/>
    <w:rsid w:val="007D1E51"/>
    <w:rsid w:val="007D202C"/>
    <w:rsid w:val="007D2199"/>
    <w:rsid w:val="007D2B3B"/>
    <w:rsid w:val="007D3D45"/>
    <w:rsid w:val="007D4409"/>
    <w:rsid w:val="007D551A"/>
    <w:rsid w:val="007D694E"/>
    <w:rsid w:val="007D6CB2"/>
    <w:rsid w:val="007D74FC"/>
    <w:rsid w:val="007E0323"/>
    <w:rsid w:val="007E06AF"/>
    <w:rsid w:val="007E199C"/>
    <w:rsid w:val="007E23F7"/>
    <w:rsid w:val="007E446B"/>
    <w:rsid w:val="007E48A4"/>
    <w:rsid w:val="007E4CE6"/>
    <w:rsid w:val="007E5027"/>
    <w:rsid w:val="007E79C6"/>
    <w:rsid w:val="007F1995"/>
    <w:rsid w:val="007F22E4"/>
    <w:rsid w:val="007F3762"/>
    <w:rsid w:val="007F4907"/>
    <w:rsid w:val="007F4B79"/>
    <w:rsid w:val="007F52F2"/>
    <w:rsid w:val="007F54B1"/>
    <w:rsid w:val="007F55DA"/>
    <w:rsid w:val="007F59E0"/>
    <w:rsid w:val="0080068F"/>
    <w:rsid w:val="008026B6"/>
    <w:rsid w:val="00803CF6"/>
    <w:rsid w:val="008063FD"/>
    <w:rsid w:val="00806879"/>
    <w:rsid w:val="00807B54"/>
    <w:rsid w:val="0081025F"/>
    <w:rsid w:val="00810A56"/>
    <w:rsid w:val="00812811"/>
    <w:rsid w:val="00813910"/>
    <w:rsid w:val="0081443D"/>
    <w:rsid w:val="008157FA"/>
    <w:rsid w:val="00820E5C"/>
    <w:rsid w:val="0082262F"/>
    <w:rsid w:val="00823F8A"/>
    <w:rsid w:val="008264C3"/>
    <w:rsid w:val="00827AEE"/>
    <w:rsid w:val="0083199C"/>
    <w:rsid w:val="00831FAF"/>
    <w:rsid w:val="0083292E"/>
    <w:rsid w:val="0083293F"/>
    <w:rsid w:val="008335C6"/>
    <w:rsid w:val="008340A3"/>
    <w:rsid w:val="008344C5"/>
    <w:rsid w:val="00834D7C"/>
    <w:rsid w:val="008370F9"/>
    <w:rsid w:val="008374CC"/>
    <w:rsid w:val="008409E1"/>
    <w:rsid w:val="00840D6D"/>
    <w:rsid w:val="008423BF"/>
    <w:rsid w:val="00842A29"/>
    <w:rsid w:val="008436F6"/>
    <w:rsid w:val="008441C2"/>
    <w:rsid w:val="0084581A"/>
    <w:rsid w:val="00845C67"/>
    <w:rsid w:val="0084619A"/>
    <w:rsid w:val="0084631A"/>
    <w:rsid w:val="00846F48"/>
    <w:rsid w:val="00847156"/>
    <w:rsid w:val="00851792"/>
    <w:rsid w:val="00852134"/>
    <w:rsid w:val="0085432B"/>
    <w:rsid w:val="00854CD1"/>
    <w:rsid w:val="0085537C"/>
    <w:rsid w:val="00856753"/>
    <w:rsid w:val="00861141"/>
    <w:rsid w:val="00861700"/>
    <w:rsid w:val="0086242D"/>
    <w:rsid w:val="00863CC7"/>
    <w:rsid w:val="0086511E"/>
    <w:rsid w:val="0087063C"/>
    <w:rsid w:val="00870D2A"/>
    <w:rsid w:val="00871297"/>
    <w:rsid w:val="00871E35"/>
    <w:rsid w:val="00871E6D"/>
    <w:rsid w:val="00873011"/>
    <w:rsid w:val="00873D06"/>
    <w:rsid w:val="008743DC"/>
    <w:rsid w:val="00874C06"/>
    <w:rsid w:val="00874FBC"/>
    <w:rsid w:val="00876755"/>
    <w:rsid w:val="00876984"/>
    <w:rsid w:val="00876A19"/>
    <w:rsid w:val="00877267"/>
    <w:rsid w:val="00877E2D"/>
    <w:rsid w:val="008808E5"/>
    <w:rsid w:val="00880F50"/>
    <w:rsid w:val="00881515"/>
    <w:rsid w:val="00881F55"/>
    <w:rsid w:val="008826DC"/>
    <w:rsid w:val="008835B3"/>
    <w:rsid w:val="008855E8"/>
    <w:rsid w:val="00885BBE"/>
    <w:rsid w:val="00887034"/>
    <w:rsid w:val="0088772C"/>
    <w:rsid w:val="0089104E"/>
    <w:rsid w:val="008913F8"/>
    <w:rsid w:val="00891781"/>
    <w:rsid w:val="00891C58"/>
    <w:rsid w:val="00894CE2"/>
    <w:rsid w:val="00895212"/>
    <w:rsid w:val="008953E2"/>
    <w:rsid w:val="00896765"/>
    <w:rsid w:val="00896E74"/>
    <w:rsid w:val="008979B0"/>
    <w:rsid w:val="008A0384"/>
    <w:rsid w:val="008A0CE8"/>
    <w:rsid w:val="008A0EA4"/>
    <w:rsid w:val="008A1D72"/>
    <w:rsid w:val="008A261F"/>
    <w:rsid w:val="008A2804"/>
    <w:rsid w:val="008A2880"/>
    <w:rsid w:val="008A3531"/>
    <w:rsid w:val="008A3C25"/>
    <w:rsid w:val="008A403A"/>
    <w:rsid w:val="008A526F"/>
    <w:rsid w:val="008A6CC0"/>
    <w:rsid w:val="008A7A9D"/>
    <w:rsid w:val="008B00EC"/>
    <w:rsid w:val="008B2258"/>
    <w:rsid w:val="008B2A78"/>
    <w:rsid w:val="008B5188"/>
    <w:rsid w:val="008B5D45"/>
    <w:rsid w:val="008B7363"/>
    <w:rsid w:val="008B7D82"/>
    <w:rsid w:val="008B7DF5"/>
    <w:rsid w:val="008C00C7"/>
    <w:rsid w:val="008C090A"/>
    <w:rsid w:val="008C10CA"/>
    <w:rsid w:val="008C348A"/>
    <w:rsid w:val="008C3AF5"/>
    <w:rsid w:val="008C3B8C"/>
    <w:rsid w:val="008C51EC"/>
    <w:rsid w:val="008C55D1"/>
    <w:rsid w:val="008C6079"/>
    <w:rsid w:val="008C7108"/>
    <w:rsid w:val="008C7D7C"/>
    <w:rsid w:val="008D0433"/>
    <w:rsid w:val="008D118A"/>
    <w:rsid w:val="008D29CC"/>
    <w:rsid w:val="008D4E0E"/>
    <w:rsid w:val="008D5F56"/>
    <w:rsid w:val="008E0445"/>
    <w:rsid w:val="008E04F7"/>
    <w:rsid w:val="008E0584"/>
    <w:rsid w:val="008E0D4E"/>
    <w:rsid w:val="008E10E6"/>
    <w:rsid w:val="008E1676"/>
    <w:rsid w:val="008E3C1E"/>
    <w:rsid w:val="008E4201"/>
    <w:rsid w:val="008E6FD3"/>
    <w:rsid w:val="008E771F"/>
    <w:rsid w:val="008E7796"/>
    <w:rsid w:val="008E7FDB"/>
    <w:rsid w:val="008F04A4"/>
    <w:rsid w:val="008F4BA9"/>
    <w:rsid w:val="008F5310"/>
    <w:rsid w:val="008F5F9F"/>
    <w:rsid w:val="008F79F0"/>
    <w:rsid w:val="008F7F3D"/>
    <w:rsid w:val="0090098F"/>
    <w:rsid w:val="00901C0C"/>
    <w:rsid w:val="00903026"/>
    <w:rsid w:val="00904C60"/>
    <w:rsid w:val="0090639A"/>
    <w:rsid w:val="00910F43"/>
    <w:rsid w:val="00911298"/>
    <w:rsid w:val="009116CE"/>
    <w:rsid w:val="00912202"/>
    <w:rsid w:val="00912DC8"/>
    <w:rsid w:val="00913DFB"/>
    <w:rsid w:val="00913EF9"/>
    <w:rsid w:val="00913F74"/>
    <w:rsid w:val="00915A36"/>
    <w:rsid w:val="00915CB5"/>
    <w:rsid w:val="009164AD"/>
    <w:rsid w:val="00916C59"/>
    <w:rsid w:val="009174C5"/>
    <w:rsid w:val="00917A48"/>
    <w:rsid w:val="0092138D"/>
    <w:rsid w:val="00923192"/>
    <w:rsid w:val="00923222"/>
    <w:rsid w:val="009232B1"/>
    <w:rsid w:val="009238D3"/>
    <w:rsid w:val="00923CC7"/>
    <w:rsid w:val="00923EDA"/>
    <w:rsid w:val="0092457A"/>
    <w:rsid w:val="00924820"/>
    <w:rsid w:val="00924D84"/>
    <w:rsid w:val="00925686"/>
    <w:rsid w:val="00927D4E"/>
    <w:rsid w:val="00927F8A"/>
    <w:rsid w:val="00932467"/>
    <w:rsid w:val="00932594"/>
    <w:rsid w:val="00932EEB"/>
    <w:rsid w:val="00934391"/>
    <w:rsid w:val="00935B7C"/>
    <w:rsid w:val="00936E95"/>
    <w:rsid w:val="0093744F"/>
    <w:rsid w:val="0094060B"/>
    <w:rsid w:val="00941AFD"/>
    <w:rsid w:val="00943FFC"/>
    <w:rsid w:val="009460F5"/>
    <w:rsid w:val="00946F7E"/>
    <w:rsid w:val="00947396"/>
    <w:rsid w:val="009476D9"/>
    <w:rsid w:val="00947BC0"/>
    <w:rsid w:val="00947BE5"/>
    <w:rsid w:val="00951C03"/>
    <w:rsid w:val="00952CB3"/>
    <w:rsid w:val="00953D3F"/>
    <w:rsid w:val="009547A1"/>
    <w:rsid w:val="0095549B"/>
    <w:rsid w:val="00955AD7"/>
    <w:rsid w:val="009571DD"/>
    <w:rsid w:val="00957A4C"/>
    <w:rsid w:val="00957D47"/>
    <w:rsid w:val="0096365A"/>
    <w:rsid w:val="00964093"/>
    <w:rsid w:val="009648C1"/>
    <w:rsid w:val="00965444"/>
    <w:rsid w:val="009656E0"/>
    <w:rsid w:val="0096765C"/>
    <w:rsid w:val="00967E2A"/>
    <w:rsid w:val="009700C0"/>
    <w:rsid w:val="00971FE0"/>
    <w:rsid w:val="00972942"/>
    <w:rsid w:val="00972BDE"/>
    <w:rsid w:val="00975345"/>
    <w:rsid w:val="00975485"/>
    <w:rsid w:val="00975F16"/>
    <w:rsid w:val="00977277"/>
    <w:rsid w:val="00977348"/>
    <w:rsid w:val="009802EE"/>
    <w:rsid w:val="009805E6"/>
    <w:rsid w:val="0098120D"/>
    <w:rsid w:val="0098269B"/>
    <w:rsid w:val="009846A8"/>
    <w:rsid w:val="00984C53"/>
    <w:rsid w:val="00985189"/>
    <w:rsid w:val="009873EB"/>
    <w:rsid w:val="00990AA0"/>
    <w:rsid w:val="00991705"/>
    <w:rsid w:val="00992C9E"/>
    <w:rsid w:val="00993145"/>
    <w:rsid w:val="00993E34"/>
    <w:rsid w:val="00994363"/>
    <w:rsid w:val="00994C75"/>
    <w:rsid w:val="00994FF8"/>
    <w:rsid w:val="009957A6"/>
    <w:rsid w:val="009962A8"/>
    <w:rsid w:val="0099741B"/>
    <w:rsid w:val="0099747F"/>
    <w:rsid w:val="00997564"/>
    <w:rsid w:val="00997C77"/>
    <w:rsid w:val="009A12D5"/>
    <w:rsid w:val="009A220B"/>
    <w:rsid w:val="009A3B8D"/>
    <w:rsid w:val="009B0206"/>
    <w:rsid w:val="009B23D2"/>
    <w:rsid w:val="009B409C"/>
    <w:rsid w:val="009B4377"/>
    <w:rsid w:val="009B440F"/>
    <w:rsid w:val="009B74F8"/>
    <w:rsid w:val="009C05E7"/>
    <w:rsid w:val="009C0A6D"/>
    <w:rsid w:val="009C23F0"/>
    <w:rsid w:val="009C270B"/>
    <w:rsid w:val="009C3E1C"/>
    <w:rsid w:val="009C7A0D"/>
    <w:rsid w:val="009D0336"/>
    <w:rsid w:val="009D1348"/>
    <w:rsid w:val="009D15D2"/>
    <w:rsid w:val="009D221E"/>
    <w:rsid w:val="009D23A0"/>
    <w:rsid w:val="009D40A4"/>
    <w:rsid w:val="009D44F1"/>
    <w:rsid w:val="009D4C87"/>
    <w:rsid w:val="009D5B3C"/>
    <w:rsid w:val="009D66E2"/>
    <w:rsid w:val="009E1F86"/>
    <w:rsid w:val="009E2E30"/>
    <w:rsid w:val="009E3193"/>
    <w:rsid w:val="009E5634"/>
    <w:rsid w:val="009E6881"/>
    <w:rsid w:val="009E78EE"/>
    <w:rsid w:val="009E7AB8"/>
    <w:rsid w:val="009E7F83"/>
    <w:rsid w:val="009F03A0"/>
    <w:rsid w:val="009F097C"/>
    <w:rsid w:val="009F0C68"/>
    <w:rsid w:val="009F0EAB"/>
    <w:rsid w:val="009F10A4"/>
    <w:rsid w:val="009F156F"/>
    <w:rsid w:val="009F1DB7"/>
    <w:rsid w:val="009F29FB"/>
    <w:rsid w:val="009F3E98"/>
    <w:rsid w:val="009F4A44"/>
    <w:rsid w:val="009F5634"/>
    <w:rsid w:val="009F5DAB"/>
    <w:rsid w:val="009F7498"/>
    <w:rsid w:val="00A0083F"/>
    <w:rsid w:val="00A02FD6"/>
    <w:rsid w:val="00A044FF"/>
    <w:rsid w:val="00A04B18"/>
    <w:rsid w:val="00A04F9D"/>
    <w:rsid w:val="00A065A9"/>
    <w:rsid w:val="00A06903"/>
    <w:rsid w:val="00A13727"/>
    <w:rsid w:val="00A1384C"/>
    <w:rsid w:val="00A14966"/>
    <w:rsid w:val="00A1576D"/>
    <w:rsid w:val="00A17589"/>
    <w:rsid w:val="00A17924"/>
    <w:rsid w:val="00A17B3D"/>
    <w:rsid w:val="00A21F39"/>
    <w:rsid w:val="00A22A69"/>
    <w:rsid w:val="00A23D78"/>
    <w:rsid w:val="00A2450E"/>
    <w:rsid w:val="00A24CE3"/>
    <w:rsid w:val="00A25056"/>
    <w:rsid w:val="00A25D2D"/>
    <w:rsid w:val="00A26549"/>
    <w:rsid w:val="00A30987"/>
    <w:rsid w:val="00A318EA"/>
    <w:rsid w:val="00A33FCF"/>
    <w:rsid w:val="00A365A9"/>
    <w:rsid w:val="00A36EA5"/>
    <w:rsid w:val="00A42CA1"/>
    <w:rsid w:val="00A442A2"/>
    <w:rsid w:val="00A45E4F"/>
    <w:rsid w:val="00A466AE"/>
    <w:rsid w:val="00A47A6D"/>
    <w:rsid w:val="00A47E68"/>
    <w:rsid w:val="00A5018F"/>
    <w:rsid w:val="00A518F9"/>
    <w:rsid w:val="00A531D5"/>
    <w:rsid w:val="00A53322"/>
    <w:rsid w:val="00A53C65"/>
    <w:rsid w:val="00A54227"/>
    <w:rsid w:val="00A6098B"/>
    <w:rsid w:val="00A612E1"/>
    <w:rsid w:val="00A61923"/>
    <w:rsid w:val="00A61D57"/>
    <w:rsid w:val="00A62312"/>
    <w:rsid w:val="00A623F2"/>
    <w:rsid w:val="00A628EA"/>
    <w:rsid w:val="00A6379A"/>
    <w:rsid w:val="00A638A6"/>
    <w:rsid w:val="00A63AB7"/>
    <w:rsid w:val="00A647DF"/>
    <w:rsid w:val="00A64CB9"/>
    <w:rsid w:val="00A64CBA"/>
    <w:rsid w:val="00A652DB"/>
    <w:rsid w:val="00A65A19"/>
    <w:rsid w:val="00A6631F"/>
    <w:rsid w:val="00A66738"/>
    <w:rsid w:val="00A71CA5"/>
    <w:rsid w:val="00A749C4"/>
    <w:rsid w:val="00A75625"/>
    <w:rsid w:val="00A76CF4"/>
    <w:rsid w:val="00A771FD"/>
    <w:rsid w:val="00A7785B"/>
    <w:rsid w:val="00A77CCE"/>
    <w:rsid w:val="00A8038B"/>
    <w:rsid w:val="00A820B1"/>
    <w:rsid w:val="00A821FC"/>
    <w:rsid w:val="00A83859"/>
    <w:rsid w:val="00A83F5A"/>
    <w:rsid w:val="00A8514A"/>
    <w:rsid w:val="00A86382"/>
    <w:rsid w:val="00A8731A"/>
    <w:rsid w:val="00A87748"/>
    <w:rsid w:val="00A9012F"/>
    <w:rsid w:val="00A914FE"/>
    <w:rsid w:val="00A92C17"/>
    <w:rsid w:val="00A94032"/>
    <w:rsid w:val="00A9427C"/>
    <w:rsid w:val="00A94BCA"/>
    <w:rsid w:val="00A967CF"/>
    <w:rsid w:val="00A974BC"/>
    <w:rsid w:val="00A97D85"/>
    <w:rsid w:val="00A97FC8"/>
    <w:rsid w:val="00AA2BF5"/>
    <w:rsid w:val="00AA3B5B"/>
    <w:rsid w:val="00AA4A7D"/>
    <w:rsid w:val="00AA4FA3"/>
    <w:rsid w:val="00AA5D89"/>
    <w:rsid w:val="00AA6A90"/>
    <w:rsid w:val="00AB1250"/>
    <w:rsid w:val="00AB19E6"/>
    <w:rsid w:val="00AB2870"/>
    <w:rsid w:val="00AB2A13"/>
    <w:rsid w:val="00AB31D1"/>
    <w:rsid w:val="00AB400E"/>
    <w:rsid w:val="00AB4366"/>
    <w:rsid w:val="00AB4F9F"/>
    <w:rsid w:val="00AB558B"/>
    <w:rsid w:val="00AB7BE6"/>
    <w:rsid w:val="00AC070D"/>
    <w:rsid w:val="00AC162C"/>
    <w:rsid w:val="00AC4360"/>
    <w:rsid w:val="00AC44C9"/>
    <w:rsid w:val="00AC4827"/>
    <w:rsid w:val="00AC5A81"/>
    <w:rsid w:val="00AD03F0"/>
    <w:rsid w:val="00AD0A75"/>
    <w:rsid w:val="00AD2ED4"/>
    <w:rsid w:val="00AD5236"/>
    <w:rsid w:val="00AD6199"/>
    <w:rsid w:val="00AD7F87"/>
    <w:rsid w:val="00AE0970"/>
    <w:rsid w:val="00AE0C6A"/>
    <w:rsid w:val="00AE4DC4"/>
    <w:rsid w:val="00AE7CB4"/>
    <w:rsid w:val="00AF06D3"/>
    <w:rsid w:val="00AF1830"/>
    <w:rsid w:val="00AF2817"/>
    <w:rsid w:val="00AF29A1"/>
    <w:rsid w:val="00AF3411"/>
    <w:rsid w:val="00AF3B53"/>
    <w:rsid w:val="00AF5002"/>
    <w:rsid w:val="00AF5C88"/>
    <w:rsid w:val="00AF6239"/>
    <w:rsid w:val="00AF6640"/>
    <w:rsid w:val="00AF7414"/>
    <w:rsid w:val="00B004E8"/>
    <w:rsid w:val="00B00B82"/>
    <w:rsid w:val="00B016BE"/>
    <w:rsid w:val="00B01805"/>
    <w:rsid w:val="00B01DF7"/>
    <w:rsid w:val="00B021D8"/>
    <w:rsid w:val="00B02EEB"/>
    <w:rsid w:val="00B05DF3"/>
    <w:rsid w:val="00B0677D"/>
    <w:rsid w:val="00B072F2"/>
    <w:rsid w:val="00B07AE6"/>
    <w:rsid w:val="00B07E1B"/>
    <w:rsid w:val="00B07F9C"/>
    <w:rsid w:val="00B1014F"/>
    <w:rsid w:val="00B1221D"/>
    <w:rsid w:val="00B129A4"/>
    <w:rsid w:val="00B12D71"/>
    <w:rsid w:val="00B12FA6"/>
    <w:rsid w:val="00B13781"/>
    <w:rsid w:val="00B145FD"/>
    <w:rsid w:val="00B14CC4"/>
    <w:rsid w:val="00B204A4"/>
    <w:rsid w:val="00B21547"/>
    <w:rsid w:val="00B22849"/>
    <w:rsid w:val="00B22E9F"/>
    <w:rsid w:val="00B22F9E"/>
    <w:rsid w:val="00B2429F"/>
    <w:rsid w:val="00B24D74"/>
    <w:rsid w:val="00B262E6"/>
    <w:rsid w:val="00B27354"/>
    <w:rsid w:val="00B3002C"/>
    <w:rsid w:val="00B300C1"/>
    <w:rsid w:val="00B30C60"/>
    <w:rsid w:val="00B31739"/>
    <w:rsid w:val="00B34EB7"/>
    <w:rsid w:val="00B359DE"/>
    <w:rsid w:val="00B360D3"/>
    <w:rsid w:val="00B37141"/>
    <w:rsid w:val="00B4076A"/>
    <w:rsid w:val="00B4306B"/>
    <w:rsid w:val="00B4548E"/>
    <w:rsid w:val="00B458C4"/>
    <w:rsid w:val="00B46D8E"/>
    <w:rsid w:val="00B517E9"/>
    <w:rsid w:val="00B51B5F"/>
    <w:rsid w:val="00B52968"/>
    <w:rsid w:val="00B53A6E"/>
    <w:rsid w:val="00B53CA2"/>
    <w:rsid w:val="00B5408C"/>
    <w:rsid w:val="00B552E0"/>
    <w:rsid w:val="00B55724"/>
    <w:rsid w:val="00B56322"/>
    <w:rsid w:val="00B56889"/>
    <w:rsid w:val="00B56C5A"/>
    <w:rsid w:val="00B61B24"/>
    <w:rsid w:val="00B62168"/>
    <w:rsid w:val="00B64161"/>
    <w:rsid w:val="00B6419A"/>
    <w:rsid w:val="00B651A1"/>
    <w:rsid w:val="00B66E32"/>
    <w:rsid w:val="00B679AE"/>
    <w:rsid w:val="00B679B9"/>
    <w:rsid w:val="00B67A71"/>
    <w:rsid w:val="00B71040"/>
    <w:rsid w:val="00B71791"/>
    <w:rsid w:val="00B719E2"/>
    <w:rsid w:val="00B7389D"/>
    <w:rsid w:val="00B776BE"/>
    <w:rsid w:val="00B80775"/>
    <w:rsid w:val="00B80AC8"/>
    <w:rsid w:val="00B81120"/>
    <w:rsid w:val="00B82F67"/>
    <w:rsid w:val="00B830DE"/>
    <w:rsid w:val="00B841A7"/>
    <w:rsid w:val="00B841CC"/>
    <w:rsid w:val="00B84200"/>
    <w:rsid w:val="00B85766"/>
    <w:rsid w:val="00B86524"/>
    <w:rsid w:val="00B87132"/>
    <w:rsid w:val="00B873F0"/>
    <w:rsid w:val="00B90F4B"/>
    <w:rsid w:val="00B96C8D"/>
    <w:rsid w:val="00BA0E88"/>
    <w:rsid w:val="00BA2C01"/>
    <w:rsid w:val="00BA384D"/>
    <w:rsid w:val="00BA43B9"/>
    <w:rsid w:val="00BA73E0"/>
    <w:rsid w:val="00BB02CD"/>
    <w:rsid w:val="00BB2DFA"/>
    <w:rsid w:val="00BB3CD6"/>
    <w:rsid w:val="00BB4002"/>
    <w:rsid w:val="00BB44A1"/>
    <w:rsid w:val="00BB535E"/>
    <w:rsid w:val="00BB5407"/>
    <w:rsid w:val="00BB6F56"/>
    <w:rsid w:val="00BC0224"/>
    <w:rsid w:val="00BC1623"/>
    <w:rsid w:val="00BC1A9C"/>
    <w:rsid w:val="00BC36E2"/>
    <w:rsid w:val="00BC3E18"/>
    <w:rsid w:val="00BC455B"/>
    <w:rsid w:val="00BC5D33"/>
    <w:rsid w:val="00BD0C77"/>
    <w:rsid w:val="00BD12D3"/>
    <w:rsid w:val="00BD16E6"/>
    <w:rsid w:val="00BD237C"/>
    <w:rsid w:val="00BD32CC"/>
    <w:rsid w:val="00BD36E7"/>
    <w:rsid w:val="00BD418F"/>
    <w:rsid w:val="00BD55F2"/>
    <w:rsid w:val="00BD699E"/>
    <w:rsid w:val="00BD7F66"/>
    <w:rsid w:val="00BE02E3"/>
    <w:rsid w:val="00BE33CD"/>
    <w:rsid w:val="00BE3FB4"/>
    <w:rsid w:val="00BE4C9E"/>
    <w:rsid w:val="00BE540E"/>
    <w:rsid w:val="00BE605C"/>
    <w:rsid w:val="00BE6B41"/>
    <w:rsid w:val="00BE6C7F"/>
    <w:rsid w:val="00BE7747"/>
    <w:rsid w:val="00BE7BF1"/>
    <w:rsid w:val="00BF0024"/>
    <w:rsid w:val="00BF07D6"/>
    <w:rsid w:val="00BF171B"/>
    <w:rsid w:val="00BF1A47"/>
    <w:rsid w:val="00BF1AA2"/>
    <w:rsid w:val="00BF2ACC"/>
    <w:rsid w:val="00BF5D24"/>
    <w:rsid w:val="00BF661C"/>
    <w:rsid w:val="00BF7122"/>
    <w:rsid w:val="00C010DD"/>
    <w:rsid w:val="00C02A9B"/>
    <w:rsid w:val="00C050F6"/>
    <w:rsid w:val="00C054F0"/>
    <w:rsid w:val="00C05533"/>
    <w:rsid w:val="00C0584B"/>
    <w:rsid w:val="00C05B76"/>
    <w:rsid w:val="00C060DB"/>
    <w:rsid w:val="00C07C0F"/>
    <w:rsid w:val="00C104AA"/>
    <w:rsid w:val="00C105F4"/>
    <w:rsid w:val="00C12CDA"/>
    <w:rsid w:val="00C13AA7"/>
    <w:rsid w:val="00C13D1B"/>
    <w:rsid w:val="00C154ED"/>
    <w:rsid w:val="00C15757"/>
    <w:rsid w:val="00C164BA"/>
    <w:rsid w:val="00C17F32"/>
    <w:rsid w:val="00C21D56"/>
    <w:rsid w:val="00C22456"/>
    <w:rsid w:val="00C23760"/>
    <w:rsid w:val="00C238AF"/>
    <w:rsid w:val="00C243B5"/>
    <w:rsid w:val="00C249FB"/>
    <w:rsid w:val="00C250D5"/>
    <w:rsid w:val="00C277F0"/>
    <w:rsid w:val="00C3009F"/>
    <w:rsid w:val="00C30995"/>
    <w:rsid w:val="00C322CB"/>
    <w:rsid w:val="00C327F2"/>
    <w:rsid w:val="00C34013"/>
    <w:rsid w:val="00C34BF8"/>
    <w:rsid w:val="00C351A9"/>
    <w:rsid w:val="00C3636B"/>
    <w:rsid w:val="00C365E4"/>
    <w:rsid w:val="00C3749F"/>
    <w:rsid w:val="00C37A8C"/>
    <w:rsid w:val="00C37FA1"/>
    <w:rsid w:val="00C410AF"/>
    <w:rsid w:val="00C4263C"/>
    <w:rsid w:val="00C42880"/>
    <w:rsid w:val="00C45C09"/>
    <w:rsid w:val="00C470DC"/>
    <w:rsid w:val="00C472CE"/>
    <w:rsid w:val="00C51F30"/>
    <w:rsid w:val="00C52AED"/>
    <w:rsid w:val="00C5446A"/>
    <w:rsid w:val="00C564A1"/>
    <w:rsid w:val="00C56D48"/>
    <w:rsid w:val="00C577EC"/>
    <w:rsid w:val="00C57E8A"/>
    <w:rsid w:val="00C60470"/>
    <w:rsid w:val="00C62B2D"/>
    <w:rsid w:val="00C63043"/>
    <w:rsid w:val="00C644BB"/>
    <w:rsid w:val="00C644D6"/>
    <w:rsid w:val="00C64687"/>
    <w:rsid w:val="00C64B37"/>
    <w:rsid w:val="00C64E28"/>
    <w:rsid w:val="00C7021C"/>
    <w:rsid w:val="00C7056A"/>
    <w:rsid w:val="00C711F4"/>
    <w:rsid w:val="00C719C4"/>
    <w:rsid w:val="00C72AFB"/>
    <w:rsid w:val="00C73092"/>
    <w:rsid w:val="00C74AA5"/>
    <w:rsid w:val="00C753CA"/>
    <w:rsid w:val="00C76A7A"/>
    <w:rsid w:val="00C771A1"/>
    <w:rsid w:val="00C77224"/>
    <w:rsid w:val="00C8011A"/>
    <w:rsid w:val="00C808FF"/>
    <w:rsid w:val="00C82443"/>
    <w:rsid w:val="00C83013"/>
    <w:rsid w:val="00C83D9C"/>
    <w:rsid w:val="00C83F8E"/>
    <w:rsid w:val="00C84916"/>
    <w:rsid w:val="00C84D59"/>
    <w:rsid w:val="00C858C3"/>
    <w:rsid w:val="00C86E8C"/>
    <w:rsid w:val="00C9054E"/>
    <w:rsid w:val="00C91567"/>
    <w:rsid w:val="00C91C48"/>
    <w:rsid w:val="00C91EE4"/>
    <w:rsid w:val="00C927FC"/>
    <w:rsid w:val="00C92A10"/>
    <w:rsid w:val="00C9638E"/>
    <w:rsid w:val="00C96AEA"/>
    <w:rsid w:val="00C96FD2"/>
    <w:rsid w:val="00C9767F"/>
    <w:rsid w:val="00C979A2"/>
    <w:rsid w:val="00CA03FC"/>
    <w:rsid w:val="00CA0623"/>
    <w:rsid w:val="00CA0C07"/>
    <w:rsid w:val="00CA1832"/>
    <w:rsid w:val="00CA1E12"/>
    <w:rsid w:val="00CA3477"/>
    <w:rsid w:val="00CA4614"/>
    <w:rsid w:val="00CA655D"/>
    <w:rsid w:val="00CB060B"/>
    <w:rsid w:val="00CB1F49"/>
    <w:rsid w:val="00CB217D"/>
    <w:rsid w:val="00CB247D"/>
    <w:rsid w:val="00CB2A43"/>
    <w:rsid w:val="00CB2B4A"/>
    <w:rsid w:val="00CB2C34"/>
    <w:rsid w:val="00CB3E56"/>
    <w:rsid w:val="00CB574D"/>
    <w:rsid w:val="00CB6BDC"/>
    <w:rsid w:val="00CB6D59"/>
    <w:rsid w:val="00CB7587"/>
    <w:rsid w:val="00CC0EF9"/>
    <w:rsid w:val="00CC1B6D"/>
    <w:rsid w:val="00CC3E3D"/>
    <w:rsid w:val="00CC6C7E"/>
    <w:rsid w:val="00CC7A84"/>
    <w:rsid w:val="00CD1683"/>
    <w:rsid w:val="00CD1F64"/>
    <w:rsid w:val="00CD27FC"/>
    <w:rsid w:val="00CD2BA1"/>
    <w:rsid w:val="00CD2D7B"/>
    <w:rsid w:val="00CD4F6D"/>
    <w:rsid w:val="00CD5C64"/>
    <w:rsid w:val="00CD724A"/>
    <w:rsid w:val="00CD7412"/>
    <w:rsid w:val="00CD7A4E"/>
    <w:rsid w:val="00CE0126"/>
    <w:rsid w:val="00CE0A7E"/>
    <w:rsid w:val="00CE1151"/>
    <w:rsid w:val="00CE3991"/>
    <w:rsid w:val="00CE41AC"/>
    <w:rsid w:val="00CE592D"/>
    <w:rsid w:val="00CE790E"/>
    <w:rsid w:val="00CF0210"/>
    <w:rsid w:val="00CF6271"/>
    <w:rsid w:val="00CF6791"/>
    <w:rsid w:val="00D0366A"/>
    <w:rsid w:val="00D042A2"/>
    <w:rsid w:val="00D048BE"/>
    <w:rsid w:val="00D04954"/>
    <w:rsid w:val="00D05115"/>
    <w:rsid w:val="00D05EC8"/>
    <w:rsid w:val="00D05F70"/>
    <w:rsid w:val="00D06036"/>
    <w:rsid w:val="00D0705D"/>
    <w:rsid w:val="00D10260"/>
    <w:rsid w:val="00D1071D"/>
    <w:rsid w:val="00D10E04"/>
    <w:rsid w:val="00D1105C"/>
    <w:rsid w:val="00D1169D"/>
    <w:rsid w:val="00D12452"/>
    <w:rsid w:val="00D12A95"/>
    <w:rsid w:val="00D12E67"/>
    <w:rsid w:val="00D1419F"/>
    <w:rsid w:val="00D14BB8"/>
    <w:rsid w:val="00D14DC2"/>
    <w:rsid w:val="00D1535A"/>
    <w:rsid w:val="00D15629"/>
    <w:rsid w:val="00D15638"/>
    <w:rsid w:val="00D17962"/>
    <w:rsid w:val="00D209E4"/>
    <w:rsid w:val="00D2102D"/>
    <w:rsid w:val="00D24705"/>
    <w:rsid w:val="00D25894"/>
    <w:rsid w:val="00D25F38"/>
    <w:rsid w:val="00D266CE"/>
    <w:rsid w:val="00D26788"/>
    <w:rsid w:val="00D27043"/>
    <w:rsid w:val="00D308B2"/>
    <w:rsid w:val="00D3214F"/>
    <w:rsid w:val="00D332DA"/>
    <w:rsid w:val="00D33FE8"/>
    <w:rsid w:val="00D34230"/>
    <w:rsid w:val="00D36742"/>
    <w:rsid w:val="00D36A3B"/>
    <w:rsid w:val="00D37C94"/>
    <w:rsid w:val="00D40399"/>
    <w:rsid w:val="00D40697"/>
    <w:rsid w:val="00D420F5"/>
    <w:rsid w:val="00D43497"/>
    <w:rsid w:val="00D46588"/>
    <w:rsid w:val="00D5196F"/>
    <w:rsid w:val="00D51B5F"/>
    <w:rsid w:val="00D527B2"/>
    <w:rsid w:val="00D52B43"/>
    <w:rsid w:val="00D5394A"/>
    <w:rsid w:val="00D53C9C"/>
    <w:rsid w:val="00D56D2C"/>
    <w:rsid w:val="00D57083"/>
    <w:rsid w:val="00D57C5A"/>
    <w:rsid w:val="00D60B23"/>
    <w:rsid w:val="00D60BA1"/>
    <w:rsid w:val="00D61232"/>
    <w:rsid w:val="00D6169C"/>
    <w:rsid w:val="00D621BC"/>
    <w:rsid w:val="00D6354E"/>
    <w:rsid w:val="00D638C0"/>
    <w:rsid w:val="00D66425"/>
    <w:rsid w:val="00D66F6F"/>
    <w:rsid w:val="00D7085F"/>
    <w:rsid w:val="00D713E4"/>
    <w:rsid w:val="00D713E6"/>
    <w:rsid w:val="00D723FA"/>
    <w:rsid w:val="00D73A4F"/>
    <w:rsid w:val="00D75244"/>
    <w:rsid w:val="00D75914"/>
    <w:rsid w:val="00D75B50"/>
    <w:rsid w:val="00D75EB1"/>
    <w:rsid w:val="00D8295F"/>
    <w:rsid w:val="00D84BBF"/>
    <w:rsid w:val="00D8571F"/>
    <w:rsid w:val="00D85899"/>
    <w:rsid w:val="00D862A6"/>
    <w:rsid w:val="00D86E32"/>
    <w:rsid w:val="00D87284"/>
    <w:rsid w:val="00D9006A"/>
    <w:rsid w:val="00D93D05"/>
    <w:rsid w:val="00D93D35"/>
    <w:rsid w:val="00D941AF"/>
    <w:rsid w:val="00D95EBE"/>
    <w:rsid w:val="00D96C65"/>
    <w:rsid w:val="00D97F27"/>
    <w:rsid w:val="00DA12E5"/>
    <w:rsid w:val="00DA1529"/>
    <w:rsid w:val="00DA1F10"/>
    <w:rsid w:val="00DA212E"/>
    <w:rsid w:val="00DA23B2"/>
    <w:rsid w:val="00DA4045"/>
    <w:rsid w:val="00DB0704"/>
    <w:rsid w:val="00DB1534"/>
    <w:rsid w:val="00DB3FEE"/>
    <w:rsid w:val="00DB5EF3"/>
    <w:rsid w:val="00DB622B"/>
    <w:rsid w:val="00DB63FD"/>
    <w:rsid w:val="00DB65D1"/>
    <w:rsid w:val="00DB6DB3"/>
    <w:rsid w:val="00DB6FCA"/>
    <w:rsid w:val="00DC0BCF"/>
    <w:rsid w:val="00DC1428"/>
    <w:rsid w:val="00DC1769"/>
    <w:rsid w:val="00DC2E52"/>
    <w:rsid w:val="00DC330C"/>
    <w:rsid w:val="00DC39D3"/>
    <w:rsid w:val="00DC3A07"/>
    <w:rsid w:val="00DC4AF6"/>
    <w:rsid w:val="00DC5622"/>
    <w:rsid w:val="00DC6B5D"/>
    <w:rsid w:val="00DC7183"/>
    <w:rsid w:val="00DC7A57"/>
    <w:rsid w:val="00DD19A0"/>
    <w:rsid w:val="00DD3A0D"/>
    <w:rsid w:val="00DD4480"/>
    <w:rsid w:val="00DD6822"/>
    <w:rsid w:val="00DD686E"/>
    <w:rsid w:val="00DD75B4"/>
    <w:rsid w:val="00DE0EA8"/>
    <w:rsid w:val="00DE1801"/>
    <w:rsid w:val="00DE2EAD"/>
    <w:rsid w:val="00DE44E8"/>
    <w:rsid w:val="00DE5760"/>
    <w:rsid w:val="00DE5CFE"/>
    <w:rsid w:val="00DE61A7"/>
    <w:rsid w:val="00DE62C3"/>
    <w:rsid w:val="00DE6CCD"/>
    <w:rsid w:val="00DF0451"/>
    <w:rsid w:val="00DF2948"/>
    <w:rsid w:val="00DF3A97"/>
    <w:rsid w:val="00DF794E"/>
    <w:rsid w:val="00DF799B"/>
    <w:rsid w:val="00E00019"/>
    <w:rsid w:val="00E001C5"/>
    <w:rsid w:val="00E00DC4"/>
    <w:rsid w:val="00E02374"/>
    <w:rsid w:val="00E029E4"/>
    <w:rsid w:val="00E06324"/>
    <w:rsid w:val="00E06B9F"/>
    <w:rsid w:val="00E078E8"/>
    <w:rsid w:val="00E10542"/>
    <w:rsid w:val="00E11E98"/>
    <w:rsid w:val="00E12C60"/>
    <w:rsid w:val="00E13C2F"/>
    <w:rsid w:val="00E144A0"/>
    <w:rsid w:val="00E15034"/>
    <w:rsid w:val="00E16391"/>
    <w:rsid w:val="00E2114F"/>
    <w:rsid w:val="00E24A82"/>
    <w:rsid w:val="00E257F8"/>
    <w:rsid w:val="00E27840"/>
    <w:rsid w:val="00E30380"/>
    <w:rsid w:val="00E304BB"/>
    <w:rsid w:val="00E30C29"/>
    <w:rsid w:val="00E31031"/>
    <w:rsid w:val="00E32E07"/>
    <w:rsid w:val="00E32ECA"/>
    <w:rsid w:val="00E330CD"/>
    <w:rsid w:val="00E337A1"/>
    <w:rsid w:val="00E34464"/>
    <w:rsid w:val="00E35727"/>
    <w:rsid w:val="00E35BD4"/>
    <w:rsid w:val="00E36C85"/>
    <w:rsid w:val="00E36E91"/>
    <w:rsid w:val="00E37C81"/>
    <w:rsid w:val="00E37FB0"/>
    <w:rsid w:val="00E42B80"/>
    <w:rsid w:val="00E44093"/>
    <w:rsid w:val="00E4485E"/>
    <w:rsid w:val="00E44BBB"/>
    <w:rsid w:val="00E46304"/>
    <w:rsid w:val="00E468FF"/>
    <w:rsid w:val="00E47B89"/>
    <w:rsid w:val="00E50BC7"/>
    <w:rsid w:val="00E50EDA"/>
    <w:rsid w:val="00E551CC"/>
    <w:rsid w:val="00E57AFD"/>
    <w:rsid w:val="00E60A41"/>
    <w:rsid w:val="00E61395"/>
    <w:rsid w:val="00E61D08"/>
    <w:rsid w:val="00E62611"/>
    <w:rsid w:val="00E634D5"/>
    <w:rsid w:val="00E63990"/>
    <w:rsid w:val="00E64645"/>
    <w:rsid w:val="00E64E0A"/>
    <w:rsid w:val="00E64FD5"/>
    <w:rsid w:val="00E65615"/>
    <w:rsid w:val="00E65B74"/>
    <w:rsid w:val="00E667BF"/>
    <w:rsid w:val="00E66976"/>
    <w:rsid w:val="00E66CF4"/>
    <w:rsid w:val="00E66E11"/>
    <w:rsid w:val="00E676B4"/>
    <w:rsid w:val="00E70355"/>
    <w:rsid w:val="00E70B07"/>
    <w:rsid w:val="00E71D31"/>
    <w:rsid w:val="00E72005"/>
    <w:rsid w:val="00E736D9"/>
    <w:rsid w:val="00E758CF"/>
    <w:rsid w:val="00E759D1"/>
    <w:rsid w:val="00E7675F"/>
    <w:rsid w:val="00E77799"/>
    <w:rsid w:val="00E77CB2"/>
    <w:rsid w:val="00E80778"/>
    <w:rsid w:val="00E82AC1"/>
    <w:rsid w:val="00E83988"/>
    <w:rsid w:val="00E83FD4"/>
    <w:rsid w:val="00E844B9"/>
    <w:rsid w:val="00E84502"/>
    <w:rsid w:val="00E84E08"/>
    <w:rsid w:val="00E86EA8"/>
    <w:rsid w:val="00E91E87"/>
    <w:rsid w:val="00E950FB"/>
    <w:rsid w:val="00E95B59"/>
    <w:rsid w:val="00E95F31"/>
    <w:rsid w:val="00E97D03"/>
    <w:rsid w:val="00EA035D"/>
    <w:rsid w:val="00EA2339"/>
    <w:rsid w:val="00EA4E39"/>
    <w:rsid w:val="00EA4FA6"/>
    <w:rsid w:val="00EA5859"/>
    <w:rsid w:val="00EA7587"/>
    <w:rsid w:val="00EB07BF"/>
    <w:rsid w:val="00EB12E3"/>
    <w:rsid w:val="00EB3F5E"/>
    <w:rsid w:val="00EB41DD"/>
    <w:rsid w:val="00EB62C6"/>
    <w:rsid w:val="00EC0188"/>
    <w:rsid w:val="00EC0D46"/>
    <w:rsid w:val="00EC1AD6"/>
    <w:rsid w:val="00EC2645"/>
    <w:rsid w:val="00EC2A46"/>
    <w:rsid w:val="00EC3B7F"/>
    <w:rsid w:val="00EC77A1"/>
    <w:rsid w:val="00ED0240"/>
    <w:rsid w:val="00ED0389"/>
    <w:rsid w:val="00ED133C"/>
    <w:rsid w:val="00ED1663"/>
    <w:rsid w:val="00ED1D1B"/>
    <w:rsid w:val="00ED3C35"/>
    <w:rsid w:val="00ED42F7"/>
    <w:rsid w:val="00ED49D7"/>
    <w:rsid w:val="00ED4A40"/>
    <w:rsid w:val="00ED75C6"/>
    <w:rsid w:val="00EE094A"/>
    <w:rsid w:val="00EE1E34"/>
    <w:rsid w:val="00EE203D"/>
    <w:rsid w:val="00EE257B"/>
    <w:rsid w:val="00EE26B3"/>
    <w:rsid w:val="00EE3502"/>
    <w:rsid w:val="00EE37C3"/>
    <w:rsid w:val="00EE3E04"/>
    <w:rsid w:val="00EE4E96"/>
    <w:rsid w:val="00EE4FA6"/>
    <w:rsid w:val="00EE56A9"/>
    <w:rsid w:val="00EE65A3"/>
    <w:rsid w:val="00EE6756"/>
    <w:rsid w:val="00EE72FD"/>
    <w:rsid w:val="00EF0C1A"/>
    <w:rsid w:val="00EF14A4"/>
    <w:rsid w:val="00EF2715"/>
    <w:rsid w:val="00EF3052"/>
    <w:rsid w:val="00EF3738"/>
    <w:rsid w:val="00EF515C"/>
    <w:rsid w:val="00EF5FB4"/>
    <w:rsid w:val="00F004AC"/>
    <w:rsid w:val="00F00A1A"/>
    <w:rsid w:val="00F0195A"/>
    <w:rsid w:val="00F03FCC"/>
    <w:rsid w:val="00F0401B"/>
    <w:rsid w:val="00F04027"/>
    <w:rsid w:val="00F04F73"/>
    <w:rsid w:val="00F06128"/>
    <w:rsid w:val="00F06473"/>
    <w:rsid w:val="00F07292"/>
    <w:rsid w:val="00F10AE5"/>
    <w:rsid w:val="00F11044"/>
    <w:rsid w:val="00F1211C"/>
    <w:rsid w:val="00F12B6E"/>
    <w:rsid w:val="00F13416"/>
    <w:rsid w:val="00F13DFD"/>
    <w:rsid w:val="00F13FB3"/>
    <w:rsid w:val="00F154B9"/>
    <w:rsid w:val="00F16157"/>
    <w:rsid w:val="00F16D23"/>
    <w:rsid w:val="00F231CA"/>
    <w:rsid w:val="00F23CDF"/>
    <w:rsid w:val="00F24172"/>
    <w:rsid w:val="00F244A7"/>
    <w:rsid w:val="00F266C4"/>
    <w:rsid w:val="00F26BE0"/>
    <w:rsid w:val="00F2712C"/>
    <w:rsid w:val="00F274BE"/>
    <w:rsid w:val="00F31489"/>
    <w:rsid w:val="00F34A37"/>
    <w:rsid w:val="00F359FC"/>
    <w:rsid w:val="00F36679"/>
    <w:rsid w:val="00F40F8C"/>
    <w:rsid w:val="00F43F5F"/>
    <w:rsid w:val="00F44CA7"/>
    <w:rsid w:val="00F4794D"/>
    <w:rsid w:val="00F50390"/>
    <w:rsid w:val="00F50402"/>
    <w:rsid w:val="00F509C6"/>
    <w:rsid w:val="00F513BC"/>
    <w:rsid w:val="00F51AC8"/>
    <w:rsid w:val="00F53245"/>
    <w:rsid w:val="00F54A73"/>
    <w:rsid w:val="00F54AFF"/>
    <w:rsid w:val="00F5631F"/>
    <w:rsid w:val="00F563E9"/>
    <w:rsid w:val="00F5702B"/>
    <w:rsid w:val="00F63015"/>
    <w:rsid w:val="00F63269"/>
    <w:rsid w:val="00F64B04"/>
    <w:rsid w:val="00F67CC4"/>
    <w:rsid w:val="00F7139E"/>
    <w:rsid w:val="00F7186F"/>
    <w:rsid w:val="00F71ACB"/>
    <w:rsid w:val="00F729B7"/>
    <w:rsid w:val="00F731D6"/>
    <w:rsid w:val="00F745C1"/>
    <w:rsid w:val="00F757BD"/>
    <w:rsid w:val="00F76AD5"/>
    <w:rsid w:val="00F7700C"/>
    <w:rsid w:val="00F776FF"/>
    <w:rsid w:val="00F800BC"/>
    <w:rsid w:val="00F81FB7"/>
    <w:rsid w:val="00F822AE"/>
    <w:rsid w:val="00F83AC4"/>
    <w:rsid w:val="00F840B1"/>
    <w:rsid w:val="00F8421D"/>
    <w:rsid w:val="00F84259"/>
    <w:rsid w:val="00F855F4"/>
    <w:rsid w:val="00F868D9"/>
    <w:rsid w:val="00F875C7"/>
    <w:rsid w:val="00F87670"/>
    <w:rsid w:val="00F921C3"/>
    <w:rsid w:val="00F92F54"/>
    <w:rsid w:val="00F93557"/>
    <w:rsid w:val="00F9478B"/>
    <w:rsid w:val="00F94CF2"/>
    <w:rsid w:val="00F96AC0"/>
    <w:rsid w:val="00FA1F54"/>
    <w:rsid w:val="00FA6125"/>
    <w:rsid w:val="00FB268A"/>
    <w:rsid w:val="00FB346B"/>
    <w:rsid w:val="00FB3F26"/>
    <w:rsid w:val="00FB50B6"/>
    <w:rsid w:val="00FB6177"/>
    <w:rsid w:val="00FB6375"/>
    <w:rsid w:val="00FB699C"/>
    <w:rsid w:val="00FB69FA"/>
    <w:rsid w:val="00FC1534"/>
    <w:rsid w:val="00FC2ECB"/>
    <w:rsid w:val="00FC3D5F"/>
    <w:rsid w:val="00FC4072"/>
    <w:rsid w:val="00FC4E07"/>
    <w:rsid w:val="00FC6E63"/>
    <w:rsid w:val="00FC7901"/>
    <w:rsid w:val="00FD118C"/>
    <w:rsid w:val="00FD366A"/>
    <w:rsid w:val="00FD44FD"/>
    <w:rsid w:val="00FD7226"/>
    <w:rsid w:val="00FD7534"/>
    <w:rsid w:val="00FE171F"/>
    <w:rsid w:val="00FE25E3"/>
    <w:rsid w:val="00FE6806"/>
    <w:rsid w:val="00FE7448"/>
    <w:rsid w:val="00FF03A7"/>
    <w:rsid w:val="00FF1B85"/>
    <w:rsid w:val="00FF4292"/>
    <w:rsid w:val="00FF5679"/>
    <w:rsid w:val="00FF6547"/>
    <w:rsid w:val="00FF6C59"/>
    <w:rsid w:val="00FF6E52"/>
    <w:rsid w:val="00FF6EAD"/>
    <w:rsid w:val="00FF7D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D3826"/>
  <w15:docId w15:val="{B05ED6FE-0102-4719-9370-0E62CBD3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75DA"/>
    <w:pPr>
      <w:spacing w:before="120" w:after="120"/>
      <w:jc w:val="both"/>
    </w:pPr>
    <w:rPr>
      <w:rFonts w:ascii="Arial Narrow" w:hAnsi="Arial Narrow"/>
      <w:sz w:val="28"/>
    </w:rPr>
  </w:style>
  <w:style w:type="paragraph" w:styleId="Ttulo1">
    <w:name w:val="heading 1"/>
    <w:basedOn w:val="Normal"/>
    <w:next w:val="Normal"/>
    <w:autoRedefine/>
    <w:qFormat/>
    <w:rsid w:val="006427C5"/>
    <w:pPr>
      <w:shd w:val="clear" w:color="auto" w:fill="FFFFFF"/>
      <w:outlineLvl w:val="0"/>
    </w:pPr>
    <w:rPr>
      <w:rFonts w:ascii="Tahoma" w:hAnsi="Tahoma" w:cs="Tahoma"/>
      <w:b/>
      <w:kern w:val="28"/>
      <w:szCs w:val="28"/>
    </w:rPr>
  </w:style>
  <w:style w:type="paragraph" w:styleId="Ttulo2">
    <w:name w:val="heading 2"/>
    <w:aliases w:val="no vale"/>
    <w:basedOn w:val="Normal"/>
    <w:next w:val="Normal"/>
    <w:autoRedefine/>
    <w:qFormat/>
    <w:pPr>
      <w:keepNext/>
      <w:numPr>
        <w:numId w:val="2"/>
      </w:numPr>
      <w:outlineLvl w:val="1"/>
    </w:pPr>
    <w:rPr>
      <w:b/>
    </w:rPr>
  </w:style>
  <w:style w:type="paragraph" w:styleId="Ttulo3">
    <w:name w:val="heading 3"/>
    <w:aliases w:val="no vale1"/>
    <w:basedOn w:val="Normal"/>
    <w:next w:val="Normal"/>
    <w:qFormat/>
    <w:pPr>
      <w:keepNext/>
      <w:numPr>
        <w:numId w:val="3"/>
      </w:numPr>
      <w:ind w:left="357" w:hanging="357"/>
      <w:outlineLvl w:val="2"/>
    </w:pPr>
  </w:style>
  <w:style w:type="paragraph" w:styleId="Ttulo4">
    <w:name w:val="heading 4"/>
    <w:aliases w:val="no vale 2"/>
    <w:basedOn w:val="Normal"/>
    <w:next w:val="Normal"/>
    <w:autoRedefine/>
    <w:qFormat/>
    <w:pPr>
      <w:keepNext/>
      <w:numPr>
        <w:numId w:val="4"/>
      </w:numPr>
      <w:ind w:left="357" w:hanging="357"/>
      <w:outlineLvl w:val="3"/>
    </w:pPr>
    <w:rPr>
      <w:rFonts w:ascii="Arial" w:hAnsi="Arial"/>
      <w:sz w:val="24"/>
    </w:rPr>
  </w:style>
  <w:style w:type="paragraph" w:styleId="Ttulo5">
    <w:name w:val="heading 5"/>
    <w:basedOn w:val="Normal"/>
    <w:next w:val="Normal"/>
    <w:qFormat/>
    <w:pPr>
      <w:keepNext/>
      <w:spacing w:line="360" w:lineRule="auto"/>
      <w:jc w:val="right"/>
      <w:outlineLvl w:val="4"/>
    </w:pPr>
    <w:rPr>
      <w:b/>
      <w:sz w:val="22"/>
      <w14:shadow w14:blurRad="50800" w14:dist="38100" w14:dir="2700000" w14:sx="100000" w14:sy="100000" w14:kx="0" w14:ky="0" w14:algn="tl">
        <w14:srgbClr w14:val="000000">
          <w14:alpha w14:val="60000"/>
        </w14:srgbClr>
      </w14:shadow>
    </w:rPr>
  </w:style>
  <w:style w:type="paragraph" w:styleId="Ttulo6">
    <w:name w:val="heading 6"/>
    <w:basedOn w:val="Normal"/>
    <w:next w:val="Normal"/>
    <w:qFormat/>
    <w:pPr>
      <w:keepNext/>
      <w:spacing w:before="0" w:after="0"/>
      <w:jc w:val="center"/>
      <w:outlineLvl w:val="5"/>
    </w:pPr>
    <w:rPr>
      <w:b/>
      <w:i/>
      <w:lang w:val="es-ES_tradnl"/>
    </w:rPr>
  </w:style>
  <w:style w:type="paragraph" w:styleId="Ttulo9">
    <w:name w:val="heading 9"/>
    <w:basedOn w:val="Normal"/>
    <w:next w:val="Normal"/>
    <w:qFormat/>
    <w:pPr>
      <w:keepNext/>
      <w:spacing w:line="312" w:lineRule="auto"/>
      <w:jc w:val="center"/>
      <w:outlineLvl w:val="8"/>
    </w:pPr>
    <w:rPr>
      <w:b/>
      <w:bCs/>
      <w:i/>
      <w:iCs/>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customStyle="1" w:styleId="Simple">
    <w:name w:val="Simple"/>
    <w:basedOn w:val="Normal"/>
    <w:pPr>
      <w:ind w:left="357" w:hanging="357"/>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semiHidden/>
    <w:rsid w:val="005957F5"/>
    <w:rPr>
      <w:rFonts w:ascii="Arial Narrow" w:hAnsi="Arial Narrow"/>
      <w:sz w:val="28"/>
      <w:lang w:val="es-ES" w:eastAsia="es-ES" w:bidi="ar-SA"/>
    </w:rPr>
  </w:style>
  <w:style w:type="paragraph" w:customStyle="1" w:styleId="Topo">
    <w:name w:val="Topo"/>
    <w:basedOn w:val="Nmeros"/>
    <w:pPr>
      <w:numPr>
        <w:numId w:val="5"/>
      </w:numPr>
    </w:pPr>
  </w:style>
  <w:style w:type="paragraph" w:customStyle="1" w:styleId="Nmeros">
    <w:name w:val="Números"/>
    <w:basedOn w:val="Ttulo2"/>
    <w:pPr>
      <w:numPr>
        <w:numId w:val="1"/>
      </w:numPr>
    </w:pPr>
    <w:rPr>
      <w:b w:val="0"/>
    </w:rPr>
  </w:style>
  <w:style w:type="character" w:styleId="Nmerodepgina">
    <w:name w:val="page number"/>
    <w:rPr>
      <w:rFonts w:ascii="Tahoma" w:hAnsi="Tahoma"/>
      <w:sz w:val="20"/>
    </w:rPr>
  </w:style>
  <w:style w:type="paragraph" w:customStyle="1" w:styleId="Topo1">
    <w:name w:val="Topo1"/>
    <w:basedOn w:val="Normal"/>
    <w:pPr>
      <w:numPr>
        <w:numId w:val="6"/>
      </w:numPr>
    </w:pPr>
  </w:style>
  <w:style w:type="paragraph" w:customStyle="1" w:styleId="Letras">
    <w:name w:val="Letras"/>
    <w:basedOn w:val="Ttulo3"/>
    <w:pPr>
      <w:numPr>
        <w:numId w:val="0"/>
      </w:numPr>
      <w:tabs>
        <w:tab w:val="num" w:pos="360"/>
      </w:tabs>
      <w:ind w:left="360" w:hanging="360"/>
    </w:pPr>
    <w:rPr>
      <w:rFonts w:ascii="Tahoma" w:hAnsi="Tahoma"/>
      <w:sz w:val="26"/>
      <w:lang w:val="es-ES_tradnl"/>
    </w:rPr>
  </w:style>
  <w:style w:type="paragraph" w:styleId="Textoindependiente">
    <w:name w:val="Body Text"/>
    <w:basedOn w:val="Normal"/>
    <w:pPr>
      <w:spacing w:line="360" w:lineRule="auto"/>
    </w:pPr>
    <w:rPr>
      <w:sz w:val="40"/>
      <w:lang w:val="es-ES_tradnl"/>
      <w14:shadow w14:blurRad="50800" w14:dist="38100" w14:dir="2700000" w14:sx="100000" w14:sy="100000" w14:kx="0" w14:ky="0" w14:algn="tl">
        <w14:srgbClr w14:val="000000">
          <w14:alpha w14:val="60000"/>
        </w14:srgbClr>
      </w14:shadow>
    </w:rPr>
  </w:style>
  <w:style w:type="paragraph" w:styleId="Textoindependiente2">
    <w:name w:val="Body Text 2"/>
    <w:basedOn w:val="Normal"/>
    <w:rsid w:val="0054150B"/>
    <w:pPr>
      <w:widowControl w:val="0"/>
      <w:spacing w:before="0" w:after="0" w:line="360" w:lineRule="auto"/>
      <w:outlineLvl w:val="0"/>
    </w:pPr>
    <w:rPr>
      <w:rFonts w:ascii="Tahoma" w:hAnsi="Tahoma"/>
      <w:snapToGrid w:val="0"/>
    </w:rPr>
  </w:style>
  <w:style w:type="paragraph" w:styleId="Textonotapie">
    <w:name w:val="footnote text"/>
    <w:basedOn w:val="Normal"/>
    <w:link w:val="TextonotapieCar"/>
    <w:rsid w:val="0054150B"/>
    <w:pPr>
      <w:spacing w:before="0" w:after="0"/>
      <w:jc w:val="left"/>
    </w:pPr>
    <w:rPr>
      <w:rFonts w:ascii="Times New Roman" w:hAnsi="Times New Roman"/>
      <w:sz w:val="20"/>
    </w:rPr>
  </w:style>
  <w:style w:type="character" w:styleId="Refdenotaalpie">
    <w:name w:val="footnote reference"/>
    <w:rsid w:val="0054150B"/>
    <w:rPr>
      <w:vertAlign w:val="superscript"/>
    </w:rPr>
  </w:style>
  <w:style w:type="paragraph" w:styleId="Textodeglobo">
    <w:name w:val="Balloon Text"/>
    <w:basedOn w:val="Normal"/>
    <w:semiHidden/>
    <w:rsid w:val="00387FC9"/>
    <w:rPr>
      <w:rFonts w:ascii="Tahoma" w:hAnsi="Tahoma" w:cs="Tahoma"/>
      <w:sz w:val="16"/>
      <w:szCs w:val="16"/>
    </w:rPr>
  </w:style>
  <w:style w:type="paragraph" w:customStyle="1" w:styleId="Cabecera">
    <w:name w:val="Cabecera"/>
    <w:basedOn w:val="Ttulo1"/>
    <w:rsid w:val="00E72005"/>
    <w:pPr>
      <w:shd w:val="clear" w:color="auto" w:fill="auto"/>
      <w:spacing w:before="0" w:after="0"/>
      <w:jc w:val="left"/>
    </w:pPr>
    <w:rPr>
      <w:rFonts w:ascii="Copperplate Gothic Bold" w:hAnsi="Copperplate Gothic Bold" w:cs="Times New Roman"/>
      <w:b w:val="0"/>
      <w:color w:val="FFFFFF"/>
      <w:kern w:val="0"/>
      <w:sz w:val="60"/>
      <w:szCs w:val="52"/>
      <w:lang w:val="es-ES_tradnl" w:eastAsia="es-ES_tradnl"/>
    </w:rPr>
  </w:style>
  <w:style w:type="paragraph" w:customStyle="1" w:styleId="Cuerpo">
    <w:name w:val="Cuerpo"/>
    <w:rsid w:val="00E00019"/>
    <w:pPr>
      <w:spacing w:before="200" w:after="80" w:line="336" w:lineRule="auto"/>
    </w:pPr>
    <w:rPr>
      <w:rFonts w:ascii="Bodoni SvtyTwo OS ITC TT-Book" w:eastAsia="ヒラギノ角ゴ Pro W3" w:hAnsi="Bodoni SvtyTwo OS ITC TT-Book"/>
      <w:color w:val="000000"/>
      <w:sz w:val="24"/>
      <w:lang w:val="es-ES_tradnl" w:eastAsia="en-US"/>
    </w:rPr>
  </w:style>
  <w:style w:type="paragraph" w:customStyle="1" w:styleId="Formatolibre">
    <w:name w:val="Formato libre"/>
    <w:rsid w:val="00E00019"/>
    <w:pPr>
      <w:spacing w:line="336" w:lineRule="auto"/>
    </w:pPr>
    <w:rPr>
      <w:rFonts w:ascii="Bodoni SvtyTwo OS ITC TT-Book" w:eastAsia="ヒラギノ角ゴ Pro W3" w:hAnsi="Bodoni SvtyTwo OS ITC TT-Book"/>
      <w:color w:val="000000"/>
      <w:sz w:val="24"/>
      <w:lang w:val="es-ES_tradnl" w:eastAsia="en-US"/>
    </w:rPr>
  </w:style>
  <w:style w:type="paragraph" w:customStyle="1" w:styleId="COVERPAGE">
    <w:name w:val="COVER_PAGE"/>
    <w:basedOn w:val="Normal"/>
    <w:rsid w:val="00E00019"/>
    <w:pPr>
      <w:tabs>
        <w:tab w:val="left" w:pos="1418"/>
      </w:tabs>
      <w:spacing w:before="0" w:after="0"/>
    </w:pPr>
    <w:rPr>
      <w:rFonts w:ascii="Arial" w:hAnsi="Arial"/>
      <w:b/>
      <w:sz w:val="24"/>
    </w:rPr>
  </w:style>
  <w:style w:type="table" w:styleId="Tablaconcuadrcula">
    <w:name w:val="Table Grid"/>
    <w:basedOn w:val="Tablanormal"/>
    <w:rsid w:val="004E5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ndar">
    <w:name w:val="Estándar"/>
    <w:basedOn w:val="Normal"/>
    <w:rsid w:val="00463BE9"/>
    <w:pPr>
      <w:spacing w:before="0" w:after="0" w:line="360" w:lineRule="auto"/>
    </w:pPr>
    <w:rPr>
      <w:rFonts w:ascii="Arial" w:hAnsi="Arial"/>
      <w:snapToGrid w:val="0"/>
      <w:sz w:val="26"/>
      <w:lang w:val="en-US"/>
    </w:rPr>
  </w:style>
  <w:style w:type="paragraph" w:styleId="Sangra3detindependiente">
    <w:name w:val="Body Text Indent 3"/>
    <w:basedOn w:val="Normal"/>
    <w:rsid w:val="00565DF9"/>
    <w:pPr>
      <w:ind w:left="283"/>
    </w:pPr>
    <w:rPr>
      <w:sz w:val="16"/>
      <w:szCs w:val="16"/>
    </w:rPr>
  </w:style>
  <w:style w:type="paragraph" w:styleId="Sangradetextonormal">
    <w:name w:val="Body Text Indent"/>
    <w:basedOn w:val="Normal"/>
    <w:rsid w:val="00565DF9"/>
    <w:pPr>
      <w:ind w:left="283"/>
    </w:pPr>
  </w:style>
  <w:style w:type="paragraph" w:styleId="Mapadeldocumento">
    <w:name w:val="Document Map"/>
    <w:basedOn w:val="Normal"/>
    <w:semiHidden/>
    <w:rsid w:val="00565DF9"/>
    <w:pPr>
      <w:shd w:val="clear" w:color="auto" w:fill="000080"/>
    </w:pPr>
    <w:rPr>
      <w:rFonts w:ascii="Tahoma" w:hAnsi="Tahoma" w:cs="Tahoma"/>
      <w:sz w:val="20"/>
    </w:rPr>
  </w:style>
  <w:style w:type="paragraph" w:customStyle="1" w:styleId="Prrafodelista1">
    <w:name w:val="Párrafo de lista1"/>
    <w:basedOn w:val="Normal"/>
    <w:rsid w:val="0044235C"/>
    <w:pPr>
      <w:spacing w:before="0" w:after="200" w:line="276" w:lineRule="auto"/>
      <w:ind w:left="720"/>
      <w:contextualSpacing/>
      <w:jc w:val="left"/>
    </w:pPr>
    <w:rPr>
      <w:rFonts w:ascii="Calibri" w:hAnsi="Calibri"/>
      <w:sz w:val="22"/>
      <w:szCs w:val="22"/>
      <w:lang w:eastAsia="en-US"/>
    </w:rPr>
  </w:style>
  <w:style w:type="paragraph" w:customStyle="1" w:styleId="Default">
    <w:name w:val="Default"/>
    <w:rsid w:val="003B05F9"/>
    <w:pPr>
      <w:autoSpaceDE w:val="0"/>
      <w:autoSpaceDN w:val="0"/>
      <w:adjustRightInd w:val="0"/>
    </w:pPr>
    <w:rPr>
      <w:rFonts w:ascii="Arial" w:hAnsi="Arial" w:cs="Arial"/>
      <w:color w:val="000000"/>
      <w:sz w:val="24"/>
      <w:szCs w:val="24"/>
    </w:rPr>
  </w:style>
  <w:style w:type="paragraph" w:styleId="Prrafodelista">
    <w:name w:val="List Paragraph"/>
    <w:aliases w:val="Párrafo1_viñeta"/>
    <w:basedOn w:val="Normal"/>
    <w:link w:val="PrrafodelistaCar"/>
    <w:uiPriority w:val="34"/>
    <w:qFormat/>
    <w:rsid w:val="003B05F9"/>
    <w:pPr>
      <w:spacing w:before="0" w:after="200" w:line="276" w:lineRule="auto"/>
      <w:ind w:left="720"/>
      <w:contextualSpacing/>
      <w:jc w:val="left"/>
    </w:pPr>
    <w:rPr>
      <w:rFonts w:ascii="Calibri" w:eastAsia="Calibri" w:hAnsi="Calibri"/>
      <w:sz w:val="22"/>
      <w:szCs w:val="22"/>
      <w:lang w:eastAsia="en-US"/>
    </w:rPr>
  </w:style>
  <w:style w:type="paragraph" w:customStyle="1" w:styleId="Estilo1">
    <w:name w:val="Estilo1"/>
    <w:basedOn w:val="Normal"/>
    <w:next w:val="Normal"/>
    <w:rsid w:val="003B05F9"/>
    <w:pPr>
      <w:keepNext/>
    </w:pPr>
    <w:rPr>
      <w:rFonts w:ascii="Tahoma" w:hAnsi="Tahoma"/>
      <w:sz w:val="26"/>
    </w:rPr>
  </w:style>
  <w:style w:type="character" w:styleId="Hipervnculo">
    <w:name w:val="Hyperlink"/>
    <w:uiPriority w:val="99"/>
    <w:unhideWhenUsed/>
    <w:rsid w:val="003B05F9"/>
    <w:rPr>
      <w:color w:val="0000FF"/>
      <w:u w:val="single"/>
    </w:rPr>
  </w:style>
  <w:style w:type="character" w:styleId="Hipervnculovisitado">
    <w:name w:val="FollowedHyperlink"/>
    <w:uiPriority w:val="99"/>
    <w:unhideWhenUsed/>
    <w:rsid w:val="003B05F9"/>
    <w:rPr>
      <w:color w:val="800080"/>
      <w:u w:val="single"/>
    </w:rPr>
  </w:style>
  <w:style w:type="paragraph" w:customStyle="1" w:styleId="font5">
    <w:name w:val="font5"/>
    <w:basedOn w:val="Normal"/>
    <w:rsid w:val="003B05F9"/>
    <w:pPr>
      <w:spacing w:before="100" w:beforeAutospacing="1" w:after="100" w:afterAutospacing="1"/>
      <w:jc w:val="left"/>
    </w:pPr>
    <w:rPr>
      <w:rFonts w:ascii="Calibri" w:hAnsi="Calibri"/>
      <w:sz w:val="24"/>
      <w:szCs w:val="24"/>
    </w:rPr>
  </w:style>
  <w:style w:type="paragraph" w:customStyle="1" w:styleId="font6">
    <w:name w:val="font6"/>
    <w:basedOn w:val="Normal"/>
    <w:rsid w:val="003B05F9"/>
    <w:pPr>
      <w:spacing w:before="100" w:beforeAutospacing="1" w:after="100" w:afterAutospacing="1"/>
      <w:jc w:val="left"/>
    </w:pPr>
    <w:rPr>
      <w:rFonts w:ascii="Calibri" w:hAnsi="Calibri"/>
      <w:szCs w:val="28"/>
    </w:rPr>
  </w:style>
  <w:style w:type="paragraph" w:customStyle="1" w:styleId="font7">
    <w:name w:val="font7"/>
    <w:basedOn w:val="Normal"/>
    <w:rsid w:val="003B05F9"/>
    <w:pPr>
      <w:spacing w:before="100" w:beforeAutospacing="1" w:after="100" w:afterAutospacing="1"/>
      <w:jc w:val="left"/>
    </w:pPr>
    <w:rPr>
      <w:rFonts w:ascii="Calibri" w:hAnsi="Calibri"/>
      <w:b/>
      <w:bCs/>
      <w:szCs w:val="28"/>
    </w:rPr>
  </w:style>
  <w:style w:type="paragraph" w:customStyle="1" w:styleId="xl64">
    <w:name w:val="xl64"/>
    <w:basedOn w:val="Normal"/>
    <w:rsid w:val="003B05F9"/>
    <w:pPr>
      <w:spacing w:before="100" w:beforeAutospacing="1" w:after="100" w:afterAutospacing="1"/>
      <w:jc w:val="left"/>
    </w:pPr>
    <w:rPr>
      <w:rFonts w:ascii="Calibri" w:hAnsi="Calibri"/>
      <w:sz w:val="24"/>
      <w:szCs w:val="24"/>
    </w:rPr>
  </w:style>
  <w:style w:type="paragraph" w:customStyle="1" w:styleId="xl65">
    <w:name w:val="xl65"/>
    <w:basedOn w:val="Normal"/>
    <w:rsid w:val="003B05F9"/>
    <w:pPr>
      <w:spacing w:before="100" w:beforeAutospacing="1" w:after="100" w:afterAutospacing="1"/>
      <w:jc w:val="center"/>
      <w:textAlignment w:val="center"/>
    </w:pPr>
    <w:rPr>
      <w:rFonts w:ascii="Calibri" w:hAnsi="Calibri"/>
      <w:b/>
      <w:bCs/>
      <w:i/>
      <w:iCs/>
      <w:color w:val="800000"/>
      <w:szCs w:val="28"/>
    </w:rPr>
  </w:style>
  <w:style w:type="paragraph" w:customStyle="1" w:styleId="xl66">
    <w:name w:val="xl66"/>
    <w:basedOn w:val="Normal"/>
    <w:rsid w:val="003B05F9"/>
    <w:pPr>
      <w:pBdr>
        <w:left w:val="single" w:sz="8" w:space="0" w:color="auto"/>
        <w:right w:val="single" w:sz="8" w:space="0" w:color="auto"/>
      </w:pBdr>
      <w:spacing w:before="100" w:beforeAutospacing="1" w:after="100" w:afterAutospacing="1"/>
      <w:jc w:val="left"/>
      <w:textAlignment w:val="center"/>
    </w:pPr>
    <w:rPr>
      <w:rFonts w:ascii="Calibri" w:hAnsi="Calibri"/>
      <w:sz w:val="24"/>
      <w:szCs w:val="24"/>
    </w:rPr>
  </w:style>
  <w:style w:type="paragraph" w:customStyle="1" w:styleId="xl67">
    <w:name w:val="xl67"/>
    <w:basedOn w:val="Normal"/>
    <w:rsid w:val="003B05F9"/>
    <w:pPr>
      <w:pBdr>
        <w:left w:val="single" w:sz="8" w:space="0" w:color="auto"/>
        <w:right w:val="single" w:sz="4" w:space="0" w:color="auto"/>
      </w:pBdr>
      <w:spacing w:before="100" w:beforeAutospacing="1" w:after="100" w:afterAutospacing="1"/>
      <w:jc w:val="left"/>
      <w:textAlignment w:val="center"/>
    </w:pPr>
    <w:rPr>
      <w:rFonts w:ascii="Calibri" w:hAnsi="Calibri"/>
      <w:szCs w:val="28"/>
    </w:rPr>
  </w:style>
  <w:style w:type="paragraph" w:customStyle="1" w:styleId="xl68">
    <w:name w:val="xl68"/>
    <w:basedOn w:val="Normal"/>
    <w:rsid w:val="003B05F9"/>
    <w:pPr>
      <w:pBdr>
        <w:left w:val="single" w:sz="4" w:space="0" w:color="auto"/>
        <w:right w:val="single" w:sz="4" w:space="0" w:color="auto"/>
      </w:pBdr>
      <w:spacing w:before="100" w:beforeAutospacing="1" w:after="100" w:afterAutospacing="1"/>
      <w:jc w:val="left"/>
      <w:textAlignment w:val="center"/>
    </w:pPr>
    <w:rPr>
      <w:rFonts w:ascii="Calibri" w:hAnsi="Calibri"/>
      <w:szCs w:val="28"/>
    </w:rPr>
  </w:style>
  <w:style w:type="paragraph" w:customStyle="1" w:styleId="xl69">
    <w:name w:val="xl69"/>
    <w:basedOn w:val="Normal"/>
    <w:rsid w:val="003B05F9"/>
    <w:pPr>
      <w:pBdr>
        <w:left w:val="single" w:sz="4" w:space="0" w:color="auto"/>
        <w:right w:val="single" w:sz="8" w:space="0" w:color="auto"/>
      </w:pBdr>
      <w:spacing w:before="100" w:beforeAutospacing="1" w:after="100" w:afterAutospacing="1"/>
      <w:jc w:val="left"/>
      <w:textAlignment w:val="center"/>
    </w:pPr>
    <w:rPr>
      <w:rFonts w:ascii="Calibri" w:hAnsi="Calibri"/>
      <w:szCs w:val="28"/>
    </w:rPr>
  </w:style>
  <w:style w:type="paragraph" w:customStyle="1" w:styleId="xl70">
    <w:name w:val="xl70"/>
    <w:basedOn w:val="Normal"/>
    <w:rsid w:val="003B05F9"/>
    <w:pPr>
      <w:pBdr>
        <w:left w:val="single" w:sz="8" w:space="0" w:color="auto"/>
        <w:right w:val="single" w:sz="8" w:space="0" w:color="auto"/>
      </w:pBdr>
      <w:spacing w:before="100" w:beforeAutospacing="1" w:after="100" w:afterAutospacing="1"/>
      <w:jc w:val="left"/>
      <w:textAlignment w:val="center"/>
    </w:pPr>
    <w:rPr>
      <w:rFonts w:ascii="Calibri" w:hAnsi="Calibri"/>
      <w:b/>
      <w:bCs/>
      <w:sz w:val="24"/>
      <w:szCs w:val="24"/>
    </w:rPr>
  </w:style>
  <w:style w:type="paragraph" w:customStyle="1" w:styleId="xl71">
    <w:name w:val="xl71"/>
    <w:basedOn w:val="Normal"/>
    <w:rsid w:val="003B05F9"/>
    <w:pPr>
      <w:pBdr>
        <w:top w:val="single" w:sz="8" w:space="0" w:color="auto"/>
        <w:left w:val="single" w:sz="8" w:space="0" w:color="auto"/>
        <w:right w:val="single" w:sz="4" w:space="0" w:color="auto"/>
      </w:pBdr>
      <w:spacing w:before="100" w:beforeAutospacing="1" w:after="100" w:afterAutospacing="1"/>
      <w:jc w:val="right"/>
      <w:textAlignment w:val="center"/>
    </w:pPr>
    <w:rPr>
      <w:rFonts w:ascii="Calibri" w:hAnsi="Calibri"/>
      <w:szCs w:val="28"/>
    </w:rPr>
  </w:style>
  <w:style w:type="paragraph" w:customStyle="1" w:styleId="xl72">
    <w:name w:val="xl72"/>
    <w:basedOn w:val="Normal"/>
    <w:rsid w:val="003B05F9"/>
    <w:pPr>
      <w:pBdr>
        <w:top w:val="single" w:sz="8" w:space="0" w:color="auto"/>
        <w:left w:val="single" w:sz="4" w:space="0" w:color="auto"/>
        <w:right w:val="single" w:sz="4" w:space="0" w:color="auto"/>
      </w:pBdr>
      <w:spacing w:before="100" w:beforeAutospacing="1" w:after="100" w:afterAutospacing="1"/>
      <w:jc w:val="right"/>
      <w:textAlignment w:val="center"/>
    </w:pPr>
    <w:rPr>
      <w:rFonts w:ascii="Calibri" w:hAnsi="Calibri"/>
      <w:szCs w:val="28"/>
    </w:rPr>
  </w:style>
  <w:style w:type="paragraph" w:customStyle="1" w:styleId="xl73">
    <w:name w:val="xl73"/>
    <w:basedOn w:val="Normal"/>
    <w:rsid w:val="003B05F9"/>
    <w:pPr>
      <w:pBdr>
        <w:left w:val="single" w:sz="8" w:space="0" w:color="auto"/>
        <w:right w:val="single" w:sz="4" w:space="0" w:color="auto"/>
      </w:pBdr>
      <w:spacing w:before="100" w:beforeAutospacing="1" w:after="100" w:afterAutospacing="1"/>
      <w:jc w:val="right"/>
      <w:textAlignment w:val="center"/>
    </w:pPr>
    <w:rPr>
      <w:rFonts w:ascii="Calibri" w:hAnsi="Calibri"/>
      <w:szCs w:val="28"/>
    </w:rPr>
  </w:style>
  <w:style w:type="paragraph" w:customStyle="1" w:styleId="xl74">
    <w:name w:val="xl74"/>
    <w:basedOn w:val="Normal"/>
    <w:rsid w:val="003B05F9"/>
    <w:pPr>
      <w:pBdr>
        <w:left w:val="single" w:sz="4" w:space="0" w:color="auto"/>
        <w:right w:val="single" w:sz="4" w:space="0" w:color="auto"/>
      </w:pBdr>
      <w:spacing w:before="100" w:beforeAutospacing="1" w:after="100" w:afterAutospacing="1"/>
      <w:jc w:val="right"/>
      <w:textAlignment w:val="center"/>
    </w:pPr>
    <w:rPr>
      <w:rFonts w:ascii="Calibri" w:hAnsi="Calibri"/>
      <w:szCs w:val="28"/>
    </w:rPr>
  </w:style>
  <w:style w:type="paragraph" w:customStyle="1" w:styleId="xl75">
    <w:name w:val="xl75"/>
    <w:basedOn w:val="Normal"/>
    <w:rsid w:val="003B05F9"/>
    <w:pPr>
      <w:pBdr>
        <w:left w:val="single" w:sz="8" w:space="0" w:color="auto"/>
        <w:bottom w:val="single" w:sz="8" w:space="0" w:color="auto"/>
        <w:right w:val="single" w:sz="4" w:space="0" w:color="auto"/>
      </w:pBdr>
      <w:spacing w:before="100" w:beforeAutospacing="1" w:after="100" w:afterAutospacing="1"/>
      <w:jc w:val="right"/>
      <w:textAlignment w:val="center"/>
    </w:pPr>
    <w:rPr>
      <w:rFonts w:ascii="Calibri" w:hAnsi="Calibri"/>
      <w:szCs w:val="28"/>
    </w:rPr>
  </w:style>
  <w:style w:type="paragraph" w:customStyle="1" w:styleId="xl76">
    <w:name w:val="xl76"/>
    <w:basedOn w:val="Normal"/>
    <w:rsid w:val="003B05F9"/>
    <w:pPr>
      <w:pBdr>
        <w:left w:val="single" w:sz="4" w:space="0" w:color="auto"/>
        <w:bottom w:val="single" w:sz="8" w:space="0" w:color="auto"/>
        <w:right w:val="single" w:sz="4" w:space="0" w:color="auto"/>
      </w:pBdr>
      <w:spacing w:before="100" w:beforeAutospacing="1" w:after="100" w:afterAutospacing="1"/>
      <w:jc w:val="right"/>
      <w:textAlignment w:val="center"/>
    </w:pPr>
    <w:rPr>
      <w:rFonts w:ascii="Calibri" w:hAnsi="Calibri"/>
      <w:szCs w:val="28"/>
    </w:rPr>
  </w:style>
  <w:style w:type="paragraph" w:customStyle="1" w:styleId="xl77">
    <w:name w:val="xl77"/>
    <w:basedOn w:val="Normal"/>
    <w:rsid w:val="003B05F9"/>
    <w:pPr>
      <w:pBdr>
        <w:top w:val="single" w:sz="8" w:space="0" w:color="auto"/>
      </w:pBdr>
      <w:spacing w:before="100" w:beforeAutospacing="1" w:after="100" w:afterAutospacing="1"/>
      <w:jc w:val="left"/>
      <w:textAlignment w:val="center"/>
    </w:pPr>
    <w:rPr>
      <w:rFonts w:ascii="Calibri" w:hAnsi="Calibri"/>
      <w:sz w:val="24"/>
      <w:szCs w:val="24"/>
    </w:rPr>
  </w:style>
  <w:style w:type="paragraph" w:customStyle="1" w:styleId="xl78">
    <w:name w:val="xl78"/>
    <w:basedOn w:val="Normal"/>
    <w:rsid w:val="003B05F9"/>
    <w:pPr>
      <w:spacing w:before="100" w:beforeAutospacing="1" w:after="100" w:afterAutospacing="1"/>
      <w:jc w:val="left"/>
      <w:textAlignment w:val="center"/>
    </w:pPr>
    <w:rPr>
      <w:rFonts w:ascii="Calibri" w:hAnsi="Calibri"/>
      <w:sz w:val="24"/>
      <w:szCs w:val="24"/>
    </w:rPr>
  </w:style>
  <w:style w:type="paragraph" w:customStyle="1" w:styleId="xl79">
    <w:name w:val="xl79"/>
    <w:basedOn w:val="Normal"/>
    <w:rsid w:val="003B05F9"/>
    <w:pPr>
      <w:pBdr>
        <w:top w:val="single" w:sz="8" w:space="0" w:color="auto"/>
      </w:pBdr>
      <w:spacing w:before="100" w:beforeAutospacing="1" w:after="100" w:afterAutospacing="1"/>
      <w:jc w:val="left"/>
      <w:textAlignment w:val="center"/>
    </w:pPr>
    <w:rPr>
      <w:rFonts w:ascii="Calibri" w:hAnsi="Calibri"/>
      <w:sz w:val="24"/>
      <w:szCs w:val="24"/>
    </w:rPr>
  </w:style>
  <w:style w:type="paragraph" w:customStyle="1" w:styleId="xl80">
    <w:name w:val="xl80"/>
    <w:basedOn w:val="Normal"/>
    <w:rsid w:val="003B05F9"/>
    <w:pPr>
      <w:pBdr>
        <w:top w:val="single" w:sz="8" w:space="0" w:color="auto"/>
      </w:pBdr>
      <w:spacing w:before="100" w:beforeAutospacing="1" w:after="100" w:afterAutospacing="1"/>
      <w:jc w:val="left"/>
    </w:pPr>
    <w:rPr>
      <w:rFonts w:ascii="Calibri" w:hAnsi="Calibri"/>
      <w:sz w:val="24"/>
      <w:szCs w:val="24"/>
    </w:rPr>
  </w:style>
  <w:style w:type="paragraph" w:customStyle="1" w:styleId="xl81">
    <w:name w:val="xl81"/>
    <w:basedOn w:val="Normal"/>
    <w:rsid w:val="003B05F9"/>
    <w:pPr>
      <w:pBdr>
        <w:top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82">
    <w:name w:val="xl82"/>
    <w:basedOn w:val="Normal"/>
    <w:rsid w:val="003B05F9"/>
    <w:pPr>
      <w:spacing w:before="100" w:beforeAutospacing="1" w:after="100" w:afterAutospacing="1"/>
      <w:jc w:val="center"/>
      <w:textAlignment w:val="center"/>
    </w:pPr>
    <w:rPr>
      <w:rFonts w:ascii="Calibri" w:hAnsi="Calibri"/>
      <w:b/>
      <w:bCs/>
      <w:sz w:val="24"/>
      <w:szCs w:val="24"/>
    </w:rPr>
  </w:style>
  <w:style w:type="paragraph" w:customStyle="1" w:styleId="xl83">
    <w:name w:val="xl83"/>
    <w:basedOn w:val="Normal"/>
    <w:rsid w:val="003B05F9"/>
    <w:pPr>
      <w:spacing w:before="100" w:beforeAutospacing="1" w:after="100" w:afterAutospacing="1"/>
      <w:jc w:val="left"/>
      <w:textAlignment w:val="center"/>
    </w:pPr>
    <w:rPr>
      <w:rFonts w:ascii="Calibri" w:hAnsi="Calibri"/>
      <w:b/>
      <w:bCs/>
      <w:sz w:val="24"/>
      <w:szCs w:val="24"/>
    </w:rPr>
  </w:style>
  <w:style w:type="paragraph" w:customStyle="1" w:styleId="xl84">
    <w:name w:val="xl84"/>
    <w:basedOn w:val="Normal"/>
    <w:rsid w:val="003B05F9"/>
    <w:pPr>
      <w:spacing w:before="100" w:beforeAutospacing="1" w:after="100" w:afterAutospacing="1"/>
      <w:jc w:val="left"/>
      <w:textAlignment w:val="center"/>
    </w:pPr>
    <w:rPr>
      <w:rFonts w:ascii="Calibri" w:hAnsi="Calibri"/>
      <w:sz w:val="24"/>
      <w:szCs w:val="24"/>
    </w:rPr>
  </w:style>
  <w:style w:type="paragraph" w:customStyle="1" w:styleId="xl85">
    <w:name w:val="xl85"/>
    <w:basedOn w:val="Normal"/>
    <w:rsid w:val="003B05F9"/>
    <w:pPr>
      <w:spacing w:before="100" w:beforeAutospacing="1" w:after="100" w:afterAutospacing="1"/>
      <w:jc w:val="left"/>
    </w:pPr>
    <w:rPr>
      <w:rFonts w:ascii="Calibri" w:hAnsi="Calibri"/>
      <w:sz w:val="18"/>
      <w:szCs w:val="18"/>
    </w:rPr>
  </w:style>
  <w:style w:type="paragraph" w:customStyle="1" w:styleId="xl86">
    <w:name w:val="xl86"/>
    <w:basedOn w:val="Normal"/>
    <w:rsid w:val="003B05F9"/>
    <w:pPr>
      <w:pBdr>
        <w:top w:val="single" w:sz="8" w:space="0" w:color="auto"/>
        <w:left w:val="single" w:sz="4" w:space="0" w:color="auto"/>
        <w:right w:val="single" w:sz="8" w:space="0" w:color="auto"/>
      </w:pBdr>
      <w:spacing w:before="100" w:beforeAutospacing="1" w:after="100" w:afterAutospacing="1"/>
      <w:jc w:val="right"/>
      <w:textAlignment w:val="center"/>
    </w:pPr>
    <w:rPr>
      <w:rFonts w:ascii="Calibri" w:hAnsi="Calibri"/>
      <w:szCs w:val="28"/>
    </w:rPr>
  </w:style>
  <w:style w:type="paragraph" w:customStyle="1" w:styleId="xl87">
    <w:name w:val="xl87"/>
    <w:basedOn w:val="Normal"/>
    <w:rsid w:val="003B05F9"/>
    <w:pPr>
      <w:pBdr>
        <w:left w:val="single" w:sz="4" w:space="0" w:color="auto"/>
        <w:right w:val="single" w:sz="8" w:space="0" w:color="auto"/>
      </w:pBdr>
      <w:spacing w:before="100" w:beforeAutospacing="1" w:after="100" w:afterAutospacing="1"/>
      <w:jc w:val="right"/>
      <w:textAlignment w:val="center"/>
    </w:pPr>
    <w:rPr>
      <w:rFonts w:ascii="Calibri" w:hAnsi="Calibri"/>
      <w:szCs w:val="28"/>
    </w:rPr>
  </w:style>
  <w:style w:type="paragraph" w:customStyle="1" w:styleId="xl88">
    <w:name w:val="xl88"/>
    <w:basedOn w:val="Normal"/>
    <w:rsid w:val="003B05F9"/>
    <w:pPr>
      <w:pBdr>
        <w:left w:val="single" w:sz="4" w:space="0" w:color="auto"/>
        <w:bottom w:val="single" w:sz="8" w:space="0" w:color="auto"/>
        <w:right w:val="single" w:sz="8" w:space="0" w:color="auto"/>
      </w:pBdr>
      <w:spacing w:before="100" w:beforeAutospacing="1" w:after="100" w:afterAutospacing="1"/>
      <w:jc w:val="right"/>
      <w:textAlignment w:val="center"/>
    </w:pPr>
    <w:rPr>
      <w:rFonts w:ascii="Calibri" w:hAnsi="Calibri"/>
      <w:szCs w:val="28"/>
    </w:rPr>
  </w:style>
  <w:style w:type="paragraph" w:customStyle="1" w:styleId="xl89">
    <w:name w:val="xl89"/>
    <w:basedOn w:val="Normal"/>
    <w:rsid w:val="003B05F9"/>
    <w:pPr>
      <w:pBdr>
        <w:left w:val="single" w:sz="8" w:space="0" w:color="auto"/>
        <w:right w:val="single" w:sz="8" w:space="0" w:color="auto"/>
      </w:pBdr>
      <w:spacing w:before="100" w:beforeAutospacing="1" w:after="100" w:afterAutospacing="1"/>
      <w:jc w:val="left"/>
      <w:textAlignment w:val="center"/>
    </w:pPr>
    <w:rPr>
      <w:rFonts w:ascii="Calibri" w:hAnsi="Calibri"/>
      <w:color w:val="FFFFFF"/>
      <w:sz w:val="32"/>
      <w:szCs w:val="32"/>
    </w:rPr>
  </w:style>
  <w:style w:type="paragraph" w:customStyle="1" w:styleId="xl90">
    <w:name w:val="xl90"/>
    <w:basedOn w:val="Normal"/>
    <w:rsid w:val="003B05F9"/>
    <w:pPr>
      <w:spacing w:before="100" w:beforeAutospacing="1" w:after="100" w:afterAutospacing="1"/>
      <w:jc w:val="left"/>
    </w:pPr>
    <w:rPr>
      <w:rFonts w:ascii="Calibri" w:hAnsi="Calibri"/>
      <w:sz w:val="32"/>
      <w:szCs w:val="32"/>
    </w:rPr>
  </w:style>
  <w:style w:type="paragraph" w:customStyle="1" w:styleId="xl91">
    <w:name w:val="xl91"/>
    <w:basedOn w:val="Normal"/>
    <w:rsid w:val="003B05F9"/>
    <w:pPr>
      <w:pBdr>
        <w:top w:val="single" w:sz="8" w:space="0" w:color="FFFFFF"/>
        <w:left w:val="single" w:sz="8" w:space="0" w:color="FFFFFF"/>
        <w:bottom w:val="single" w:sz="8" w:space="0" w:color="auto"/>
        <w:right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92">
    <w:name w:val="xl92"/>
    <w:basedOn w:val="Normal"/>
    <w:rsid w:val="003B05F9"/>
    <w:pPr>
      <w:pBdr>
        <w:top w:val="single" w:sz="8" w:space="0" w:color="FFFFFF"/>
        <w:left w:val="single" w:sz="8" w:space="0" w:color="FFFFFF"/>
        <w:bottom w:val="single" w:sz="8" w:space="0" w:color="FFFFFF"/>
        <w:right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93">
    <w:name w:val="xl93"/>
    <w:basedOn w:val="Normal"/>
    <w:rsid w:val="003B05F9"/>
    <w:pPr>
      <w:pBdr>
        <w:top w:val="single" w:sz="8" w:space="0" w:color="FFFFFF"/>
        <w:left w:val="single" w:sz="8" w:space="0" w:color="FFFFFF"/>
        <w:bottom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94">
    <w:name w:val="xl94"/>
    <w:basedOn w:val="Normal"/>
    <w:rsid w:val="003B05F9"/>
    <w:pPr>
      <w:pBdr>
        <w:left w:val="single" w:sz="8" w:space="0" w:color="auto"/>
        <w:bottom w:val="single" w:sz="8" w:space="0" w:color="auto"/>
        <w:right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95">
    <w:name w:val="xl95"/>
    <w:basedOn w:val="Normal"/>
    <w:rsid w:val="003B05F9"/>
    <w:pPr>
      <w:pBdr>
        <w:left w:val="single" w:sz="8" w:space="0" w:color="FFFFFF"/>
        <w:bottom w:val="single" w:sz="8" w:space="0" w:color="auto"/>
        <w:right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96">
    <w:name w:val="xl96"/>
    <w:basedOn w:val="Normal"/>
    <w:rsid w:val="003B05F9"/>
    <w:pPr>
      <w:pBdr>
        <w:left w:val="single" w:sz="8" w:space="0" w:color="FFFFFF"/>
        <w:bottom w:val="single" w:sz="8" w:space="0" w:color="auto"/>
        <w:right w:val="single" w:sz="8" w:space="0" w:color="auto"/>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97">
    <w:name w:val="xl97"/>
    <w:basedOn w:val="Normal"/>
    <w:rsid w:val="003B05F9"/>
    <w:pPr>
      <w:spacing w:before="100" w:beforeAutospacing="1" w:after="100" w:afterAutospacing="1"/>
      <w:jc w:val="left"/>
      <w:textAlignment w:val="center"/>
    </w:pPr>
    <w:rPr>
      <w:rFonts w:ascii="Calibri" w:hAnsi="Calibri"/>
      <w:b/>
      <w:bCs/>
      <w:szCs w:val="28"/>
    </w:rPr>
  </w:style>
  <w:style w:type="paragraph" w:customStyle="1" w:styleId="xl98">
    <w:name w:val="xl98"/>
    <w:basedOn w:val="Normal"/>
    <w:rsid w:val="003B05F9"/>
    <w:pPr>
      <w:spacing w:before="100" w:beforeAutospacing="1" w:after="100" w:afterAutospacing="1"/>
      <w:jc w:val="center"/>
      <w:textAlignment w:val="center"/>
    </w:pPr>
    <w:rPr>
      <w:rFonts w:ascii="Calibri" w:hAnsi="Calibri"/>
      <w:b/>
      <w:bCs/>
      <w:color w:val="800000"/>
      <w:sz w:val="32"/>
      <w:szCs w:val="32"/>
    </w:rPr>
  </w:style>
  <w:style w:type="paragraph" w:customStyle="1" w:styleId="xl99">
    <w:name w:val="xl99"/>
    <w:basedOn w:val="Normal"/>
    <w:rsid w:val="003B05F9"/>
    <w:pPr>
      <w:pBdr>
        <w:top w:val="single" w:sz="8" w:space="0" w:color="auto"/>
        <w:left w:val="single" w:sz="8" w:space="0" w:color="auto"/>
        <w:bottom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100">
    <w:name w:val="xl100"/>
    <w:basedOn w:val="Normal"/>
    <w:rsid w:val="003B05F9"/>
    <w:pPr>
      <w:pBdr>
        <w:top w:val="single" w:sz="8" w:space="0" w:color="auto"/>
        <w:bottom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101">
    <w:name w:val="xl101"/>
    <w:basedOn w:val="Normal"/>
    <w:rsid w:val="003B05F9"/>
    <w:pPr>
      <w:pBdr>
        <w:top w:val="single" w:sz="8" w:space="0" w:color="auto"/>
        <w:bottom w:val="single" w:sz="8" w:space="0" w:color="FFFFFF"/>
        <w:right w:val="single" w:sz="8" w:space="0" w:color="auto"/>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102">
    <w:name w:val="xl102"/>
    <w:basedOn w:val="Normal"/>
    <w:rsid w:val="003B05F9"/>
    <w:pPr>
      <w:pBdr>
        <w:top w:val="single" w:sz="8" w:space="0" w:color="auto"/>
        <w:left w:val="single" w:sz="8" w:space="0" w:color="FFFFFF"/>
        <w:bottom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103">
    <w:name w:val="xl103"/>
    <w:basedOn w:val="Normal"/>
    <w:rsid w:val="003B05F9"/>
    <w:pPr>
      <w:pBdr>
        <w:top w:val="single" w:sz="8" w:space="0" w:color="auto"/>
        <w:bottom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104">
    <w:name w:val="xl104"/>
    <w:basedOn w:val="Normal"/>
    <w:rsid w:val="003B05F9"/>
    <w:pPr>
      <w:pBdr>
        <w:top w:val="single" w:sz="8" w:space="0" w:color="auto"/>
        <w:bottom w:val="single" w:sz="8" w:space="0" w:color="FFFFFF"/>
        <w:right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105">
    <w:name w:val="xl105"/>
    <w:basedOn w:val="Normal"/>
    <w:rsid w:val="003B05F9"/>
    <w:pPr>
      <w:pBdr>
        <w:top w:val="single" w:sz="8" w:space="0" w:color="auto"/>
        <w:left w:val="single" w:sz="8" w:space="0" w:color="auto"/>
        <w:bottom w:val="single" w:sz="8" w:space="0" w:color="FFFFFF"/>
        <w:right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106">
    <w:name w:val="xl106"/>
    <w:basedOn w:val="Normal"/>
    <w:rsid w:val="003B05F9"/>
    <w:pPr>
      <w:pBdr>
        <w:top w:val="single" w:sz="8" w:space="0" w:color="FFFFFF"/>
        <w:left w:val="single" w:sz="8" w:space="0" w:color="auto"/>
        <w:bottom w:val="single" w:sz="8" w:space="0" w:color="auto"/>
        <w:right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107">
    <w:name w:val="xl107"/>
    <w:basedOn w:val="Normal"/>
    <w:rsid w:val="003B05F9"/>
    <w:pPr>
      <w:spacing w:before="100" w:beforeAutospacing="1" w:after="100" w:afterAutospacing="1"/>
      <w:jc w:val="left"/>
      <w:textAlignment w:val="center"/>
    </w:pPr>
    <w:rPr>
      <w:rFonts w:ascii="Calibri" w:hAnsi="Calibri"/>
      <w:sz w:val="24"/>
      <w:szCs w:val="24"/>
    </w:rPr>
  </w:style>
  <w:style w:type="paragraph" w:customStyle="1" w:styleId="xl108">
    <w:name w:val="xl108"/>
    <w:basedOn w:val="Normal"/>
    <w:rsid w:val="003B05F9"/>
    <w:pPr>
      <w:spacing w:before="100" w:beforeAutospacing="1" w:after="100" w:afterAutospacing="1"/>
      <w:jc w:val="left"/>
      <w:textAlignment w:val="center"/>
    </w:pPr>
    <w:rPr>
      <w:rFonts w:ascii="Calibri" w:hAnsi="Calibri"/>
      <w:sz w:val="24"/>
      <w:szCs w:val="24"/>
    </w:rPr>
  </w:style>
  <w:style w:type="paragraph" w:customStyle="1" w:styleId="xl109">
    <w:name w:val="xl109"/>
    <w:basedOn w:val="Normal"/>
    <w:rsid w:val="003B05F9"/>
    <w:pPr>
      <w:pBdr>
        <w:top w:val="single" w:sz="8" w:space="0" w:color="FFFFFF"/>
        <w:bottom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110">
    <w:name w:val="xl110"/>
    <w:basedOn w:val="Normal"/>
    <w:rsid w:val="003B05F9"/>
    <w:pPr>
      <w:pBdr>
        <w:top w:val="single" w:sz="8" w:space="0" w:color="FFFFFF"/>
        <w:bottom w:val="single" w:sz="8" w:space="0" w:color="FFFFFF"/>
        <w:right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articulo1">
    <w:name w:val="articulo1"/>
    <w:basedOn w:val="Normal"/>
    <w:rsid w:val="00BF1AA2"/>
    <w:pPr>
      <w:spacing w:before="360" w:after="180"/>
      <w:jc w:val="left"/>
    </w:pPr>
    <w:rPr>
      <w:rFonts w:ascii="Times New Roman" w:hAnsi="Times New Roman"/>
      <w:b/>
      <w:bCs/>
      <w:sz w:val="24"/>
      <w:szCs w:val="24"/>
    </w:rPr>
  </w:style>
  <w:style w:type="paragraph" w:customStyle="1" w:styleId="parrafo1">
    <w:name w:val="parrafo1"/>
    <w:basedOn w:val="Normal"/>
    <w:rsid w:val="00BF1AA2"/>
    <w:pPr>
      <w:spacing w:before="180" w:after="180"/>
      <w:ind w:firstLine="360"/>
    </w:pPr>
    <w:rPr>
      <w:rFonts w:ascii="Times New Roman" w:hAnsi="Times New Roman"/>
      <w:sz w:val="24"/>
      <w:szCs w:val="24"/>
    </w:rPr>
  </w:style>
  <w:style w:type="paragraph" w:customStyle="1" w:styleId="parrafo22">
    <w:name w:val="parrafo_22"/>
    <w:basedOn w:val="Normal"/>
    <w:rsid w:val="00BF1AA2"/>
    <w:pPr>
      <w:spacing w:before="360" w:after="180"/>
      <w:ind w:firstLine="360"/>
    </w:pPr>
    <w:rPr>
      <w:rFonts w:ascii="Times New Roman" w:hAnsi="Times New Roman"/>
      <w:sz w:val="24"/>
      <w:szCs w:val="24"/>
    </w:rPr>
  </w:style>
  <w:style w:type="character" w:customStyle="1" w:styleId="TextonotapieCar">
    <w:name w:val="Texto nota pie Car"/>
    <w:link w:val="Textonotapie"/>
    <w:rsid w:val="00682236"/>
  </w:style>
  <w:style w:type="character" w:styleId="nfasis">
    <w:name w:val="Emphasis"/>
    <w:uiPriority w:val="20"/>
    <w:qFormat/>
    <w:rsid w:val="00682236"/>
    <w:rPr>
      <w:i/>
      <w:iCs/>
    </w:rPr>
  </w:style>
  <w:style w:type="table" w:customStyle="1" w:styleId="Tablaconcuadrcula1">
    <w:name w:val="Tabla con cuadrícula1"/>
    <w:basedOn w:val="Tablanormal"/>
    <w:next w:val="Tablaconcuadrcula"/>
    <w:uiPriority w:val="59"/>
    <w:rsid w:val="00E15034"/>
    <w:pPr>
      <w:spacing w:after="300" w:line="312"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1503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1_viñeta Car"/>
    <w:link w:val="Prrafodelista"/>
    <w:uiPriority w:val="34"/>
    <w:rsid w:val="00C154ED"/>
    <w:rPr>
      <w:rFonts w:ascii="Calibri" w:eastAsia="Calibri" w:hAnsi="Calibri"/>
      <w:sz w:val="22"/>
      <w:szCs w:val="22"/>
      <w:lang w:eastAsia="en-US"/>
    </w:rPr>
  </w:style>
  <w:style w:type="table" w:customStyle="1" w:styleId="Tablaconcuadrcula3">
    <w:name w:val="Tabla con cuadrícula3"/>
    <w:basedOn w:val="Tablanormal"/>
    <w:next w:val="Tablaconcuadrcula"/>
    <w:rsid w:val="0097534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8D4E0E"/>
    <w:rPr>
      <w:color w:val="605E5C"/>
      <w:shd w:val="clear" w:color="auto" w:fill="E1DFDD"/>
    </w:rPr>
  </w:style>
  <w:style w:type="character" w:styleId="Refdecomentario">
    <w:name w:val="annotation reference"/>
    <w:rsid w:val="007B03E9"/>
    <w:rPr>
      <w:sz w:val="16"/>
      <w:szCs w:val="16"/>
    </w:rPr>
  </w:style>
  <w:style w:type="paragraph" w:styleId="Textocomentario">
    <w:name w:val="annotation text"/>
    <w:basedOn w:val="Normal"/>
    <w:link w:val="TextocomentarioCar"/>
    <w:rsid w:val="007B03E9"/>
    <w:rPr>
      <w:sz w:val="20"/>
    </w:rPr>
  </w:style>
  <w:style w:type="character" w:customStyle="1" w:styleId="TextocomentarioCar">
    <w:name w:val="Texto comentario Car"/>
    <w:link w:val="Textocomentario"/>
    <w:rsid w:val="007B03E9"/>
    <w:rPr>
      <w:rFonts w:ascii="Arial Narrow" w:hAnsi="Arial Narrow"/>
    </w:rPr>
  </w:style>
  <w:style w:type="paragraph" w:styleId="Asuntodelcomentario">
    <w:name w:val="annotation subject"/>
    <w:basedOn w:val="Textocomentario"/>
    <w:next w:val="Textocomentario"/>
    <w:link w:val="AsuntodelcomentarioCar"/>
    <w:rsid w:val="007B03E9"/>
    <w:rPr>
      <w:b/>
      <w:bCs/>
    </w:rPr>
  </w:style>
  <w:style w:type="character" w:customStyle="1" w:styleId="AsuntodelcomentarioCar">
    <w:name w:val="Asunto del comentario Car"/>
    <w:link w:val="Asuntodelcomentario"/>
    <w:rsid w:val="007B03E9"/>
    <w:rPr>
      <w:rFonts w:ascii="Arial Narrow" w:hAnsi="Arial Narrow"/>
      <w:b/>
      <w:bCs/>
    </w:rPr>
  </w:style>
  <w:style w:type="table" w:styleId="Cuadrculamedia3-nfasis1">
    <w:name w:val="Medium Grid 3 Accent 1"/>
    <w:basedOn w:val="Tablanormal"/>
    <w:uiPriority w:val="69"/>
    <w:semiHidden/>
    <w:unhideWhenUsed/>
    <w:rsid w:val="0048474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paragraph" w:styleId="Revisin">
    <w:name w:val="Revision"/>
    <w:hidden/>
    <w:uiPriority w:val="99"/>
    <w:semiHidden/>
    <w:rsid w:val="000F398C"/>
    <w:rPr>
      <w:rFonts w:ascii="Arial Narrow" w:hAnsi="Arial Narrow"/>
      <w:sz w:val="28"/>
    </w:rPr>
  </w:style>
  <w:style w:type="character" w:styleId="Textodelmarcadordeposicin">
    <w:name w:val="Placeholder Text"/>
    <w:basedOn w:val="Fuentedeprrafopredeter"/>
    <w:uiPriority w:val="99"/>
    <w:semiHidden/>
    <w:rsid w:val="00223932"/>
    <w:rPr>
      <w:color w:val="808080"/>
    </w:rPr>
  </w:style>
  <w:style w:type="paragraph" w:customStyle="1" w:styleId="Normal1">
    <w:name w:val="Normal1"/>
    <w:link w:val="NormalCar"/>
    <w:qFormat/>
    <w:rsid w:val="00A318EA"/>
    <w:pPr>
      <w:jc w:val="both"/>
    </w:pPr>
    <w:rPr>
      <w:rFonts w:ascii="Arial" w:hAnsi="Arial" w:cs="Arial"/>
      <w:spacing w:val="-4"/>
      <w:sz w:val="22"/>
      <w:szCs w:val="13"/>
    </w:rPr>
  </w:style>
  <w:style w:type="character" w:customStyle="1" w:styleId="NormalCar">
    <w:name w:val="Normal Car"/>
    <w:basedOn w:val="Fuentedeprrafopredeter"/>
    <w:link w:val="Normal1"/>
    <w:rsid w:val="00A318EA"/>
    <w:rPr>
      <w:rFonts w:ascii="Arial" w:hAnsi="Arial" w:cs="Arial"/>
      <w:spacing w:val="-4"/>
      <w:sz w:val="22"/>
      <w:szCs w:val="13"/>
    </w:rPr>
  </w:style>
  <w:style w:type="character" w:customStyle="1" w:styleId="hgkelc">
    <w:name w:val="hgkelc"/>
    <w:basedOn w:val="Fuentedeprrafopredeter"/>
    <w:rsid w:val="00763F4C"/>
  </w:style>
  <w:style w:type="character" w:styleId="Mencinsinresolver">
    <w:name w:val="Unresolved Mention"/>
    <w:basedOn w:val="Fuentedeprrafopredeter"/>
    <w:uiPriority w:val="99"/>
    <w:semiHidden/>
    <w:unhideWhenUsed/>
    <w:rsid w:val="00B30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94788183">
      <w:bodyDiv w:val="1"/>
      <w:marLeft w:val="0"/>
      <w:marRight w:val="0"/>
      <w:marTop w:val="0"/>
      <w:marBottom w:val="0"/>
      <w:divBdr>
        <w:top w:val="none" w:sz="0" w:space="0" w:color="auto"/>
        <w:left w:val="none" w:sz="0" w:space="0" w:color="auto"/>
        <w:bottom w:val="none" w:sz="0" w:space="0" w:color="auto"/>
        <w:right w:val="none" w:sz="0" w:space="0" w:color="auto"/>
      </w:divBdr>
    </w:div>
    <w:div w:id="159732303">
      <w:bodyDiv w:val="1"/>
      <w:marLeft w:val="0"/>
      <w:marRight w:val="0"/>
      <w:marTop w:val="0"/>
      <w:marBottom w:val="0"/>
      <w:divBdr>
        <w:top w:val="none" w:sz="0" w:space="0" w:color="auto"/>
        <w:left w:val="none" w:sz="0" w:space="0" w:color="auto"/>
        <w:bottom w:val="none" w:sz="0" w:space="0" w:color="auto"/>
        <w:right w:val="none" w:sz="0" w:space="0" w:color="auto"/>
      </w:divBdr>
    </w:div>
    <w:div w:id="200948246">
      <w:bodyDiv w:val="1"/>
      <w:marLeft w:val="0"/>
      <w:marRight w:val="0"/>
      <w:marTop w:val="0"/>
      <w:marBottom w:val="0"/>
      <w:divBdr>
        <w:top w:val="none" w:sz="0" w:space="0" w:color="auto"/>
        <w:left w:val="none" w:sz="0" w:space="0" w:color="auto"/>
        <w:bottom w:val="none" w:sz="0" w:space="0" w:color="auto"/>
        <w:right w:val="none" w:sz="0" w:space="0" w:color="auto"/>
      </w:divBdr>
    </w:div>
    <w:div w:id="211431323">
      <w:bodyDiv w:val="1"/>
      <w:marLeft w:val="0"/>
      <w:marRight w:val="0"/>
      <w:marTop w:val="0"/>
      <w:marBottom w:val="0"/>
      <w:divBdr>
        <w:top w:val="none" w:sz="0" w:space="0" w:color="auto"/>
        <w:left w:val="none" w:sz="0" w:space="0" w:color="auto"/>
        <w:bottom w:val="none" w:sz="0" w:space="0" w:color="auto"/>
        <w:right w:val="none" w:sz="0" w:space="0" w:color="auto"/>
      </w:divBdr>
    </w:div>
    <w:div w:id="324432847">
      <w:bodyDiv w:val="1"/>
      <w:marLeft w:val="0"/>
      <w:marRight w:val="0"/>
      <w:marTop w:val="0"/>
      <w:marBottom w:val="0"/>
      <w:divBdr>
        <w:top w:val="none" w:sz="0" w:space="0" w:color="auto"/>
        <w:left w:val="none" w:sz="0" w:space="0" w:color="auto"/>
        <w:bottom w:val="none" w:sz="0" w:space="0" w:color="auto"/>
        <w:right w:val="none" w:sz="0" w:space="0" w:color="auto"/>
      </w:divBdr>
    </w:div>
    <w:div w:id="330832629">
      <w:bodyDiv w:val="1"/>
      <w:marLeft w:val="0"/>
      <w:marRight w:val="0"/>
      <w:marTop w:val="0"/>
      <w:marBottom w:val="0"/>
      <w:divBdr>
        <w:top w:val="none" w:sz="0" w:space="0" w:color="auto"/>
        <w:left w:val="none" w:sz="0" w:space="0" w:color="auto"/>
        <w:bottom w:val="none" w:sz="0" w:space="0" w:color="auto"/>
        <w:right w:val="none" w:sz="0" w:space="0" w:color="auto"/>
      </w:divBdr>
    </w:div>
    <w:div w:id="399063855">
      <w:bodyDiv w:val="1"/>
      <w:marLeft w:val="0"/>
      <w:marRight w:val="0"/>
      <w:marTop w:val="0"/>
      <w:marBottom w:val="0"/>
      <w:divBdr>
        <w:top w:val="none" w:sz="0" w:space="0" w:color="auto"/>
        <w:left w:val="none" w:sz="0" w:space="0" w:color="auto"/>
        <w:bottom w:val="none" w:sz="0" w:space="0" w:color="auto"/>
        <w:right w:val="none" w:sz="0" w:space="0" w:color="auto"/>
      </w:divBdr>
    </w:div>
    <w:div w:id="434834353">
      <w:bodyDiv w:val="1"/>
      <w:marLeft w:val="0"/>
      <w:marRight w:val="0"/>
      <w:marTop w:val="0"/>
      <w:marBottom w:val="0"/>
      <w:divBdr>
        <w:top w:val="none" w:sz="0" w:space="0" w:color="auto"/>
        <w:left w:val="none" w:sz="0" w:space="0" w:color="auto"/>
        <w:bottom w:val="none" w:sz="0" w:space="0" w:color="auto"/>
        <w:right w:val="none" w:sz="0" w:space="0" w:color="auto"/>
      </w:divBdr>
    </w:div>
    <w:div w:id="517429503">
      <w:bodyDiv w:val="1"/>
      <w:marLeft w:val="0"/>
      <w:marRight w:val="0"/>
      <w:marTop w:val="0"/>
      <w:marBottom w:val="0"/>
      <w:divBdr>
        <w:top w:val="none" w:sz="0" w:space="0" w:color="auto"/>
        <w:left w:val="none" w:sz="0" w:space="0" w:color="auto"/>
        <w:bottom w:val="none" w:sz="0" w:space="0" w:color="auto"/>
        <w:right w:val="none" w:sz="0" w:space="0" w:color="auto"/>
      </w:divBdr>
    </w:div>
    <w:div w:id="530655602">
      <w:bodyDiv w:val="1"/>
      <w:marLeft w:val="0"/>
      <w:marRight w:val="0"/>
      <w:marTop w:val="0"/>
      <w:marBottom w:val="0"/>
      <w:divBdr>
        <w:top w:val="none" w:sz="0" w:space="0" w:color="auto"/>
        <w:left w:val="none" w:sz="0" w:space="0" w:color="auto"/>
        <w:bottom w:val="none" w:sz="0" w:space="0" w:color="auto"/>
        <w:right w:val="none" w:sz="0" w:space="0" w:color="auto"/>
      </w:divBdr>
    </w:div>
    <w:div w:id="534737398">
      <w:bodyDiv w:val="1"/>
      <w:marLeft w:val="0"/>
      <w:marRight w:val="0"/>
      <w:marTop w:val="0"/>
      <w:marBottom w:val="0"/>
      <w:divBdr>
        <w:top w:val="none" w:sz="0" w:space="0" w:color="auto"/>
        <w:left w:val="none" w:sz="0" w:space="0" w:color="auto"/>
        <w:bottom w:val="none" w:sz="0" w:space="0" w:color="auto"/>
        <w:right w:val="none" w:sz="0" w:space="0" w:color="auto"/>
      </w:divBdr>
    </w:div>
    <w:div w:id="547380944">
      <w:bodyDiv w:val="1"/>
      <w:marLeft w:val="0"/>
      <w:marRight w:val="0"/>
      <w:marTop w:val="0"/>
      <w:marBottom w:val="0"/>
      <w:divBdr>
        <w:top w:val="none" w:sz="0" w:space="0" w:color="auto"/>
        <w:left w:val="none" w:sz="0" w:space="0" w:color="auto"/>
        <w:bottom w:val="none" w:sz="0" w:space="0" w:color="auto"/>
        <w:right w:val="none" w:sz="0" w:space="0" w:color="auto"/>
      </w:divBdr>
    </w:div>
    <w:div w:id="571738314">
      <w:bodyDiv w:val="1"/>
      <w:marLeft w:val="0"/>
      <w:marRight w:val="0"/>
      <w:marTop w:val="0"/>
      <w:marBottom w:val="0"/>
      <w:divBdr>
        <w:top w:val="none" w:sz="0" w:space="0" w:color="auto"/>
        <w:left w:val="none" w:sz="0" w:space="0" w:color="auto"/>
        <w:bottom w:val="none" w:sz="0" w:space="0" w:color="auto"/>
        <w:right w:val="none" w:sz="0" w:space="0" w:color="auto"/>
      </w:divBdr>
      <w:divsChild>
        <w:div w:id="428894299">
          <w:marLeft w:val="0"/>
          <w:marRight w:val="0"/>
          <w:marTop w:val="720"/>
          <w:marBottom w:val="720"/>
          <w:divBdr>
            <w:top w:val="none" w:sz="0" w:space="0" w:color="auto"/>
            <w:left w:val="none" w:sz="0" w:space="0" w:color="auto"/>
            <w:bottom w:val="none" w:sz="0" w:space="0" w:color="auto"/>
            <w:right w:val="none" w:sz="0" w:space="0" w:color="auto"/>
          </w:divBdr>
          <w:divsChild>
            <w:div w:id="1938322210">
              <w:marLeft w:val="0"/>
              <w:marRight w:val="0"/>
              <w:marTop w:val="0"/>
              <w:marBottom w:val="0"/>
              <w:divBdr>
                <w:top w:val="none" w:sz="0" w:space="0" w:color="auto"/>
                <w:left w:val="none" w:sz="0" w:space="0" w:color="auto"/>
                <w:bottom w:val="none" w:sz="0" w:space="0" w:color="auto"/>
                <w:right w:val="none" w:sz="0" w:space="0" w:color="auto"/>
              </w:divBdr>
              <w:divsChild>
                <w:div w:id="405761725">
                  <w:marLeft w:val="0"/>
                  <w:marRight w:val="0"/>
                  <w:marTop w:val="0"/>
                  <w:marBottom w:val="0"/>
                  <w:divBdr>
                    <w:top w:val="none" w:sz="0" w:space="0" w:color="auto"/>
                    <w:left w:val="none" w:sz="0" w:space="0" w:color="auto"/>
                    <w:bottom w:val="none" w:sz="0" w:space="0" w:color="auto"/>
                    <w:right w:val="none" w:sz="0" w:space="0" w:color="auto"/>
                  </w:divBdr>
                  <w:divsChild>
                    <w:div w:id="15318217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610741144">
      <w:bodyDiv w:val="1"/>
      <w:marLeft w:val="0"/>
      <w:marRight w:val="0"/>
      <w:marTop w:val="0"/>
      <w:marBottom w:val="0"/>
      <w:divBdr>
        <w:top w:val="none" w:sz="0" w:space="0" w:color="auto"/>
        <w:left w:val="none" w:sz="0" w:space="0" w:color="auto"/>
        <w:bottom w:val="none" w:sz="0" w:space="0" w:color="auto"/>
        <w:right w:val="none" w:sz="0" w:space="0" w:color="auto"/>
      </w:divBdr>
    </w:div>
    <w:div w:id="648946115">
      <w:bodyDiv w:val="1"/>
      <w:marLeft w:val="0"/>
      <w:marRight w:val="0"/>
      <w:marTop w:val="0"/>
      <w:marBottom w:val="0"/>
      <w:divBdr>
        <w:top w:val="none" w:sz="0" w:space="0" w:color="auto"/>
        <w:left w:val="none" w:sz="0" w:space="0" w:color="auto"/>
        <w:bottom w:val="none" w:sz="0" w:space="0" w:color="auto"/>
        <w:right w:val="none" w:sz="0" w:space="0" w:color="auto"/>
      </w:divBdr>
      <w:divsChild>
        <w:div w:id="1618757751">
          <w:marLeft w:val="0"/>
          <w:marRight w:val="0"/>
          <w:marTop w:val="720"/>
          <w:marBottom w:val="720"/>
          <w:divBdr>
            <w:top w:val="none" w:sz="0" w:space="0" w:color="auto"/>
            <w:left w:val="none" w:sz="0" w:space="0" w:color="auto"/>
            <w:bottom w:val="none" w:sz="0" w:space="0" w:color="auto"/>
            <w:right w:val="none" w:sz="0" w:space="0" w:color="auto"/>
          </w:divBdr>
          <w:divsChild>
            <w:div w:id="1906065395">
              <w:marLeft w:val="0"/>
              <w:marRight w:val="0"/>
              <w:marTop w:val="0"/>
              <w:marBottom w:val="0"/>
              <w:divBdr>
                <w:top w:val="none" w:sz="0" w:space="0" w:color="auto"/>
                <w:left w:val="none" w:sz="0" w:space="0" w:color="auto"/>
                <w:bottom w:val="none" w:sz="0" w:space="0" w:color="auto"/>
                <w:right w:val="none" w:sz="0" w:space="0" w:color="auto"/>
              </w:divBdr>
              <w:divsChild>
                <w:div w:id="863052779">
                  <w:marLeft w:val="0"/>
                  <w:marRight w:val="0"/>
                  <w:marTop w:val="0"/>
                  <w:marBottom w:val="0"/>
                  <w:divBdr>
                    <w:top w:val="single" w:sz="4" w:space="12" w:color="CCCCCC"/>
                    <w:left w:val="none" w:sz="0" w:space="0" w:color="auto"/>
                    <w:bottom w:val="none" w:sz="0" w:space="0" w:color="auto"/>
                    <w:right w:val="none" w:sz="0" w:space="0" w:color="auto"/>
                  </w:divBdr>
                </w:div>
              </w:divsChild>
            </w:div>
          </w:divsChild>
        </w:div>
      </w:divsChild>
    </w:div>
    <w:div w:id="656032202">
      <w:bodyDiv w:val="1"/>
      <w:marLeft w:val="0"/>
      <w:marRight w:val="0"/>
      <w:marTop w:val="0"/>
      <w:marBottom w:val="0"/>
      <w:divBdr>
        <w:top w:val="none" w:sz="0" w:space="0" w:color="auto"/>
        <w:left w:val="none" w:sz="0" w:space="0" w:color="auto"/>
        <w:bottom w:val="none" w:sz="0" w:space="0" w:color="auto"/>
        <w:right w:val="none" w:sz="0" w:space="0" w:color="auto"/>
      </w:divBdr>
    </w:div>
    <w:div w:id="673461459">
      <w:bodyDiv w:val="1"/>
      <w:marLeft w:val="0"/>
      <w:marRight w:val="0"/>
      <w:marTop w:val="0"/>
      <w:marBottom w:val="0"/>
      <w:divBdr>
        <w:top w:val="none" w:sz="0" w:space="0" w:color="auto"/>
        <w:left w:val="none" w:sz="0" w:space="0" w:color="auto"/>
        <w:bottom w:val="none" w:sz="0" w:space="0" w:color="auto"/>
        <w:right w:val="none" w:sz="0" w:space="0" w:color="auto"/>
      </w:divBdr>
    </w:div>
    <w:div w:id="677315755">
      <w:bodyDiv w:val="1"/>
      <w:marLeft w:val="0"/>
      <w:marRight w:val="0"/>
      <w:marTop w:val="0"/>
      <w:marBottom w:val="0"/>
      <w:divBdr>
        <w:top w:val="none" w:sz="0" w:space="0" w:color="auto"/>
        <w:left w:val="none" w:sz="0" w:space="0" w:color="auto"/>
        <w:bottom w:val="none" w:sz="0" w:space="0" w:color="auto"/>
        <w:right w:val="none" w:sz="0" w:space="0" w:color="auto"/>
      </w:divBdr>
      <w:divsChild>
        <w:div w:id="1640454618">
          <w:marLeft w:val="0"/>
          <w:marRight w:val="0"/>
          <w:marTop w:val="720"/>
          <w:marBottom w:val="720"/>
          <w:divBdr>
            <w:top w:val="none" w:sz="0" w:space="0" w:color="auto"/>
            <w:left w:val="none" w:sz="0" w:space="0" w:color="auto"/>
            <w:bottom w:val="none" w:sz="0" w:space="0" w:color="auto"/>
            <w:right w:val="none" w:sz="0" w:space="0" w:color="auto"/>
          </w:divBdr>
          <w:divsChild>
            <w:div w:id="72053447">
              <w:marLeft w:val="0"/>
              <w:marRight w:val="0"/>
              <w:marTop w:val="0"/>
              <w:marBottom w:val="0"/>
              <w:divBdr>
                <w:top w:val="none" w:sz="0" w:space="0" w:color="auto"/>
                <w:left w:val="none" w:sz="0" w:space="0" w:color="auto"/>
                <w:bottom w:val="none" w:sz="0" w:space="0" w:color="auto"/>
                <w:right w:val="none" w:sz="0" w:space="0" w:color="auto"/>
              </w:divBdr>
              <w:divsChild>
                <w:div w:id="1691955851">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754134952">
      <w:bodyDiv w:val="1"/>
      <w:marLeft w:val="0"/>
      <w:marRight w:val="0"/>
      <w:marTop w:val="0"/>
      <w:marBottom w:val="0"/>
      <w:divBdr>
        <w:top w:val="none" w:sz="0" w:space="0" w:color="auto"/>
        <w:left w:val="none" w:sz="0" w:space="0" w:color="auto"/>
        <w:bottom w:val="none" w:sz="0" w:space="0" w:color="auto"/>
        <w:right w:val="none" w:sz="0" w:space="0" w:color="auto"/>
      </w:divBdr>
    </w:div>
    <w:div w:id="838278027">
      <w:bodyDiv w:val="1"/>
      <w:marLeft w:val="0"/>
      <w:marRight w:val="0"/>
      <w:marTop w:val="0"/>
      <w:marBottom w:val="0"/>
      <w:divBdr>
        <w:top w:val="none" w:sz="0" w:space="0" w:color="auto"/>
        <w:left w:val="none" w:sz="0" w:space="0" w:color="auto"/>
        <w:bottom w:val="none" w:sz="0" w:space="0" w:color="auto"/>
        <w:right w:val="none" w:sz="0" w:space="0" w:color="auto"/>
      </w:divBdr>
    </w:div>
    <w:div w:id="877813308">
      <w:bodyDiv w:val="1"/>
      <w:marLeft w:val="0"/>
      <w:marRight w:val="0"/>
      <w:marTop w:val="0"/>
      <w:marBottom w:val="0"/>
      <w:divBdr>
        <w:top w:val="none" w:sz="0" w:space="0" w:color="auto"/>
        <w:left w:val="none" w:sz="0" w:space="0" w:color="auto"/>
        <w:bottom w:val="none" w:sz="0" w:space="0" w:color="auto"/>
        <w:right w:val="none" w:sz="0" w:space="0" w:color="auto"/>
      </w:divBdr>
    </w:div>
    <w:div w:id="896818928">
      <w:bodyDiv w:val="1"/>
      <w:marLeft w:val="0"/>
      <w:marRight w:val="0"/>
      <w:marTop w:val="0"/>
      <w:marBottom w:val="0"/>
      <w:divBdr>
        <w:top w:val="none" w:sz="0" w:space="0" w:color="auto"/>
        <w:left w:val="none" w:sz="0" w:space="0" w:color="auto"/>
        <w:bottom w:val="none" w:sz="0" w:space="0" w:color="auto"/>
        <w:right w:val="none" w:sz="0" w:space="0" w:color="auto"/>
      </w:divBdr>
    </w:div>
    <w:div w:id="907806755">
      <w:bodyDiv w:val="1"/>
      <w:marLeft w:val="0"/>
      <w:marRight w:val="0"/>
      <w:marTop w:val="0"/>
      <w:marBottom w:val="0"/>
      <w:divBdr>
        <w:top w:val="none" w:sz="0" w:space="0" w:color="auto"/>
        <w:left w:val="none" w:sz="0" w:space="0" w:color="auto"/>
        <w:bottom w:val="none" w:sz="0" w:space="0" w:color="auto"/>
        <w:right w:val="none" w:sz="0" w:space="0" w:color="auto"/>
      </w:divBdr>
    </w:div>
    <w:div w:id="979917483">
      <w:bodyDiv w:val="1"/>
      <w:marLeft w:val="0"/>
      <w:marRight w:val="0"/>
      <w:marTop w:val="0"/>
      <w:marBottom w:val="0"/>
      <w:divBdr>
        <w:top w:val="none" w:sz="0" w:space="0" w:color="auto"/>
        <w:left w:val="none" w:sz="0" w:space="0" w:color="auto"/>
        <w:bottom w:val="none" w:sz="0" w:space="0" w:color="auto"/>
        <w:right w:val="none" w:sz="0" w:space="0" w:color="auto"/>
      </w:divBdr>
    </w:div>
    <w:div w:id="985164256">
      <w:bodyDiv w:val="1"/>
      <w:marLeft w:val="0"/>
      <w:marRight w:val="0"/>
      <w:marTop w:val="0"/>
      <w:marBottom w:val="0"/>
      <w:divBdr>
        <w:top w:val="none" w:sz="0" w:space="0" w:color="auto"/>
        <w:left w:val="none" w:sz="0" w:space="0" w:color="auto"/>
        <w:bottom w:val="none" w:sz="0" w:space="0" w:color="auto"/>
        <w:right w:val="none" w:sz="0" w:space="0" w:color="auto"/>
      </w:divBdr>
    </w:div>
    <w:div w:id="995185738">
      <w:bodyDiv w:val="1"/>
      <w:marLeft w:val="0"/>
      <w:marRight w:val="0"/>
      <w:marTop w:val="0"/>
      <w:marBottom w:val="0"/>
      <w:divBdr>
        <w:top w:val="none" w:sz="0" w:space="0" w:color="auto"/>
        <w:left w:val="none" w:sz="0" w:space="0" w:color="auto"/>
        <w:bottom w:val="none" w:sz="0" w:space="0" w:color="auto"/>
        <w:right w:val="none" w:sz="0" w:space="0" w:color="auto"/>
      </w:divBdr>
    </w:div>
    <w:div w:id="1047417482">
      <w:bodyDiv w:val="1"/>
      <w:marLeft w:val="0"/>
      <w:marRight w:val="0"/>
      <w:marTop w:val="0"/>
      <w:marBottom w:val="0"/>
      <w:divBdr>
        <w:top w:val="none" w:sz="0" w:space="0" w:color="auto"/>
        <w:left w:val="none" w:sz="0" w:space="0" w:color="auto"/>
        <w:bottom w:val="none" w:sz="0" w:space="0" w:color="auto"/>
        <w:right w:val="none" w:sz="0" w:space="0" w:color="auto"/>
      </w:divBdr>
    </w:div>
    <w:div w:id="1072849139">
      <w:bodyDiv w:val="1"/>
      <w:marLeft w:val="0"/>
      <w:marRight w:val="0"/>
      <w:marTop w:val="0"/>
      <w:marBottom w:val="0"/>
      <w:divBdr>
        <w:top w:val="none" w:sz="0" w:space="0" w:color="auto"/>
        <w:left w:val="none" w:sz="0" w:space="0" w:color="auto"/>
        <w:bottom w:val="none" w:sz="0" w:space="0" w:color="auto"/>
        <w:right w:val="none" w:sz="0" w:space="0" w:color="auto"/>
      </w:divBdr>
    </w:div>
    <w:div w:id="1084841337">
      <w:bodyDiv w:val="1"/>
      <w:marLeft w:val="0"/>
      <w:marRight w:val="0"/>
      <w:marTop w:val="0"/>
      <w:marBottom w:val="0"/>
      <w:divBdr>
        <w:top w:val="none" w:sz="0" w:space="0" w:color="auto"/>
        <w:left w:val="none" w:sz="0" w:space="0" w:color="auto"/>
        <w:bottom w:val="none" w:sz="0" w:space="0" w:color="auto"/>
        <w:right w:val="none" w:sz="0" w:space="0" w:color="auto"/>
      </w:divBdr>
    </w:div>
    <w:div w:id="1233661608">
      <w:bodyDiv w:val="1"/>
      <w:marLeft w:val="0"/>
      <w:marRight w:val="0"/>
      <w:marTop w:val="0"/>
      <w:marBottom w:val="0"/>
      <w:divBdr>
        <w:top w:val="none" w:sz="0" w:space="0" w:color="auto"/>
        <w:left w:val="none" w:sz="0" w:space="0" w:color="auto"/>
        <w:bottom w:val="none" w:sz="0" w:space="0" w:color="auto"/>
        <w:right w:val="none" w:sz="0" w:space="0" w:color="auto"/>
      </w:divBdr>
    </w:div>
    <w:div w:id="1311713187">
      <w:bodyDiv w:val="1"/>
      <w:marLeft w:val="0"/>
      <w:marRight w:val="0"/>
      <w:marTop w:val="0"/>
      <w:marBottom w:val="0"/>
      <w:divBdr>
        <w:top w:val="none" w:sz="0" w:space="0" w:color="auto"/>
        <w:left w:val="none" w:sz="0" w:space="0" w:color="auto"/>
        <w:bottom w:val="none" w:sz="0" w:space="0" w:color="auto"/>
        <w:right w:val="none" w:sz="0" w:space="0" w:color="auto"/>
      </w:divBdr>
    </w:div>
    <w:div w:id="1338575916">
      <w:bodyDiv w:val="1"/>
      <w:marLeft w:val="0"/>
      <w:marRight w:val="0"/>
      <w:marTop w:val="0"/>
      <w:marBottom w:val="0"/>
      <w:divBdr>
        <w:top w:val="none" w:sz="0" w:space="0" w:color="auto"/>
        <w:left w:val="none" w:sz="0" w:space="0" w:color="auto"/>
        <w:bottom w:val="none" w:sz="0" w:space="0" w:color="auto"/>
        <w:right w:val="none" w:sz="0" w:space="0" w:color="auto"/>
      </w:divBdr>
    </w:div>
    <w:div w:id="1354114426">
      <w:bodyDiv w:val="1"/>
      <w:marLeft w:val="0"/>
      <w:marRight w:val="0"/>
      <w:marTop w:val="0"/>
      <w:marBottom w:val="0"/>
      <w:divBdr>
        <w:top w:val="none" w:sz="0" w:space="0" w:color="auto"/>
        <w:left w:val="none" w:sz="0" w:space="0" w:color="auto"/>
        <w:bottom w:val="none" w:sz="0" w:space="0" w:color="auto"/>
        <w:right w:val="none" w:sz="0" w:space="0" w:color="auto"/>
      </w:divBdr>
    </w:div>
    <w:div w:id="1386876583">
      <w:bodyDiv w:val="1"/>
      <w:marLeft w:val="0"/>
      <w:marRight w:val="0"/>
      <w:marTop w:val="0"/>
      <w:marBottom w:val="0"/>
      <w:divBdr>
        <w:top w:val="none" w:sz="0" w:space="0" w:color="auto"/>
        <w:left w:val="none" w:sz="0" w:space="0" w:color="auto"/>
        <w:bottom w:val="none" w:sz="0" w:space="0" w:color="auto"/>
        <w:right w:val="none" w:sz="0" w:space="0" w:color="auto"/>
      </w:divBdr>
    </w:div>
    <w:div w:id="1420642537">
      <w:bodyDiv w:val="1"/>
      <w:marLeft w:val="0"/>
      <w:marRight w:val="0"/>
      <w:marTop w:val="0"/>
      <w:marBottom w:val="0"/>
      <w:divBdr>
        <w:top w:val="none" w:sz="0" w:space="0" w:color="auto"/>
        <w:left w:val="none" w:sz="0" w:space="0" w:color="auto"/>
        <w:bottom w:val="none" w:sz="0" w:space="0" w:color="auto"/>
        <w:right w:val="none" w:sz="0" w:space="0" w:color="auto"/>
      </w:divBdr>
    </w:div>
    <w:div w:id="1485009558">
      <w:bodyDiv w:val="1"/>
      <w:marLeft w:val="0"/>
      <w:marRight w:val="0"/>
      <w:marTop w:val="0"/>
      <w:marBottom w:val="0"/>
      <w:divBdr>
        <w:top w:val="none" w:sz="0" w:space="0" w:color="auto"/>
        <w:left w:val="none" w:sz="0" w:space="0" w:color="auto"/>
        <w:bottom w:val="none" w:sz="0" w:space="0" w:color="auto"/>
        <w:right w:val="none" w:sz="0" w:space="0" w:color="auto"/>
      </w:divBdr>
    </w:div>
    <w:div w:id="1527602437">
      <w:bodyDiv w:val="1"/>
      <w:marLeft w:val="0"/>
      <w:marRight w:val="0"/>
      <w:marTop w:val="0"/>
      <w:marBottom w:val="0"/>
      <w:divBdr>
        <w:top w:val="none" w:sz="0" w:space="0" w:color="auto"/>
        <w:left w:val="none" w:sz="0" w:space="0" w:color="auto"/>
        <w:bottom w:val="none" w:sz="0" w:space="0" w:color="auto"/>
        <w:right w:val="none" w:sz="0" w:space="0" w:color="auto"/>
      </w:divBdr>
    </w:div>
    <w:div w:id="1673793871">
      <w:bodyDiv w:val="1"/>
      <w:marLeft w:val="0"/>
      <w:marRight w:val="0"/>
      <w:marTop w:val="0"/>
      <w:marBottom w:val="0"/>
      <w:divBdr>
        <w:top w:val="none" w:sz="0" w:space="0" w:color="auto"/>
        <w:left w:val="none" w:sz="0" w:space="0" w:color="auto"/>
        <w:bottom w:val="none" w:sz="0" w:space="0" w:color="auto"/>
        <w:right w:val="none" w:sz="0" w:space="0" w:color="auto"/>
      </w:divBdr>
    </w:div>
    <w:div w:id="1676111822">
      <w:bodyDiv w:val="1"/>
      <w:marLeft w:val="0"/>
      <w:marRight w:val="0"/>
      <w:marTop w:val="0"/>
      <w:marBottom w:val="0"/>
      <w:divBdr>
        <w:top w:val="none" w:sz="0" w:space="0" w:color="auto"/>
        <w:left w:val="none" w:sz="0" w:space="0" w:color="auto"/>
        <w:bottom w:val="none" w:sz="0" w:space="0" w:color="auto"/>
        <w:right w:val="none" w:sz="0" w:space="0" w:color="auto"/>
      </w:divBdr>
      <w:divsChild>
        <w:div w:id="1244490435">
          <w:marLeft w:val="0"/>
          <w:marRight w:val="0"/>
          <w:marTop w:val="720"/>
          <w:marBottom w:val="720"/>
          <w:divBdr>
            <w:top w:val="none" w:sz="0" w:space="0" w:color="auto"/>
            <w:left w:val="none" w:sz="0" w:space="0" w:color="auto"/>
            <w:bottom w:val="none" w:sz="0" w:space="0" w:color="auto"/>
            <w:right w:val="none" w:sz="0" w:space="0" w:color="auto"/>
          </w:divBdr>
          <w:divsChild>
            <w:div w:id="739595972">
              <w:marLeft w:val="0"/>
              <w:marRight w:val="0"/>
              <w:marTop w:val="0"/>
              <w:marBottom w:val="0"/>
              <w:divBdr>
                <w:top w:val="none" w:sz="0" w:space="0" w:color="auto"/>
                <w:left w:val="none" w:sz="0" w:space="0" w:color="auto"/>
                <w:bottom w:val="none" w:sz="0" w:space="0" w:color="auto"/>
                <w:right w:val="none" w:sz="0" w:space="0" w:color="auto"/>
              </w:divBdr>
              <w:divsChild>
                <w:div w:id="213243179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690717345">
      <w:bodyDiv w:val="1"/>
      <w:marLeft w:val="0"/>
      <w:marRight w:val="0"/>
      <w:marTop w:val="0"/>
      <w:marBottom w:val="0"/>
      <w:divBdr>
        <w:top w:val="none" w:sz="0" w:space="0" w:color="auto"/>
        <w:left w:val="none" w:sz="0" w:space="0" w:color="auto"/>
        <w:bottom w:val="none" w:sz="0" w:space="0" w:color="auto"/>
        <w:right w:val="none" w:sz="0" w:space="0" w:color="auto"/>
      </w:divBdr>
    </w:div>
    <w:div w:id="1823887009">
      <w:bodyDiv w:val="1"/>
      <w:marLeft w:val="0"/>
      <w:marRight w:val="0"/>
      <w:marTop w:val="0"/>
      <w:marBottom w:val="0"/>
      <w:divBdr>
        <w:top w:val="none" w:sz="0" w:space="0" w:color="auto"/>
        <w:left w:val="none" w:sz="0" w:space="0" w:color="auto"/>
        <w:bottom w:val="none" w:sz="0" w:space="0" w:color="auto"/>
        <w:right w:val="none" w:sz="0" w:space="0" w:color="auto"/>
      </w:divBdr>
    </w:div>
    <w:div w:id="1955018839">
      <w:bodyDiv w:val="1"/>
      <w:marLeft w:val="0"/>
      <w:marRight w:val="0"/>
      <w:marTop w:val="0"/>
      <w:marBottom w:val="0"/>
      <w:divBdr>
        <w:top w:val="none" w:sz="0" w:space="0" w:color="auto"/>
        <w:left w:val="none" w:sz="0" w:space="0" w:color="auto"/>
        <w:bottom w:val="none" w:sz="0" w:space="0" w:color="auto"/>
        <w:right w:val="none" w:sz="0" w:space="0" w:color="auto"/>
      </w:divBdr>
    </w:div>
    <w:div w:id="1965581326">
      <w:bodyDiv w:val="1"/>
      <w:marLeft w:val="0"/>
      <w:marRight w:val="0"/>
      <w:marTop w:val="0"/>
      <w:marBottom w:val="0"/>
      <w:divBdr>
        <w:top w:val="none" w:sz="0" w:space="0" w:color="auto"/>
        <w:left w:val="none" w:sz="0" w:space="0" w:color="auto"/>
        <w:bottom w:val="none" w:sz="0" w:space="0" w:color="auto"/>
        <w:right w:val="none" w:sz="0" w:space="0" w:color="auto"/>
      </w:divBdr>
    </w:div>
    <w:div w:id="2032029253">
      <w:bodyDiv w:val="1"/>
      <w:marLeft w:val="0"/>
      <w:marRight w:val="0"/>
      <w:marTop w:val="0"/>
      <w:marBottom w:val="0"/>
      <w:divBdr>
        <w:top w:val="none" w:sz="0" w:space="0" w:color="auto"/>
        <w:left w:val="none" w:sz="0" w:space="0" w:color="auto"/>
        <w:bottom w:val="none" w:sz="0" w:space="0" w:color="auto"/>
        <w:right w:val="none" w:sz="0" w:space="0" w:color="auto"/>
      </w:divBdr>
    </w:div>
    <w:div w:id="21222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emf"/><Relationship Id="rId27" Type="http://schemas.openxmlformats.org/officeDocument/2006/relationships/header" Target="head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168048b059" TargetMode="External"/><Relationship Id="rId13" Type="http://schemas.openxmlformats.org/officeDocument/2006/relationships/hyperlink" Target="http://www.ine.es/dyngs/INEbase/es/operacion.htm?c=Estadistica_C&amp;cid=1254736177025&amp;menu=resultados&amp;secc=1254736061996&amp;idp=1254735976596" TargetMode="External"/><Relationship Id="rId3" Type="http://schemas.openxmlformats.org/officeDocument/2006/relationships/hyperlink" Target="https://www.lamoncloa.gob.es/serviciosdeprensa/notasprensa/trabajo14/Paginas/2022/191222-smi-2023-propuesta.aspx" TargetMode="External"/><Relationship Id="rId7" Type="http://schemas.openxmlformats.org/officeDocument/2006/relationships/hyperlink" Target="https://economy-finance.ec.europa.eu/economic-surveillance-eu-economies/spain/economic-forecast-spain_en" TargetMode="External"/><Relationship Id="rId12" Type="http://schemas.openxmlformats.org/officeDocument/2006/relationships/hyperlink" Target="https://ec.europa.eu/eurostat/statistics-explained/index.php/Gender_pay_gap_statistics" TargetMode="External"/><Relationship Id="rId2" Type="http://schemas.openxmlformats.org/officeDocument/2006/relationships/hyperlink" Target="https://s03.s3c.es/imag/doc/2021-06-18/Informe_comision_asesora_smi.pdf" TargetMode="External"/><Relationship Id="rId1" Type="http://schemas.openxmlformats.org/officeDocument/2006/relationships/hyperlink" Target="https://www.boe.es/buscar/pdf/2015/BOE-A-2015-11430-consolidado.pdf" TargetMode="External"/><Relationship Id="rId6" Type="http://schemas.openxmlformats.org/officeDocument/2006/relationships/hyperlink" Target="https://www.bde.es/f/webbe/SES/Secciones/Publicaciones/InformesBoletinesRevistas/BoletinEconomico/23/T3/Fich/be2303-it-Proy.pdf" TargetMode="External"/><Relationship Id="rId11" Type="http://schemas.openxmlformats.org/officeDocument/2006/relationships/hyperlink" Target="https://www.lamoncloa.gob.es/serviciosdeprensa/notasprensa/trabajo14/Paginas/2022/191222-smi-2023-propuesta.aspx" TargetMode="External"/><Relationship Id="rId5" Type="http://schemas.openxmlformats.org/officeDocument/2006/relationships/hyperlink" Target="https://portal.mineco.gob.es/RecursosArticulo/mineco/economia/macro/Plan_Presupuestario/Plan-Presupuestario-2024-ES.pdf" TargetMode="External"/><Relationship Id="rId15" Type="http://schemas.openxmlformats.org/officeDocument/2006/relationships/hyperlink" Target="http://ec.europa.eu/transparency/regdoc/rep/1/2017/ES/COM-2017-678-F1-ES-MAIN-PART-1.PDF" TargetMode="External"/><Relationship Id="rId10" Type="http://schemas.openxmlformats.org/officeDocument/2006/relationships/hyperlink" Target="https://www.ilo.org/asia/projects/WCMS_508566/lang--en/index.htm" TargetMode="External"/><Relationship Id="rId4" Type="http://schemas.openxmlformats.org/officeDocument/2006/relationships/hyperlink" Target="https://portal.mineco.gob.es/RecursosArticulo/mineco/economia/macro/Programa_Estabilidad/Programa_Estabilidad_2023-2026.pdf" TargetMode="External"/><Relationship Id="rId9" Type="http://schemas.openxmlformats.org/officeDocument/2006/relationships/hyperlink" Target="https://www.boe.es/buscar/doc.php?id=DOUE-L-2022-81556" TargetMode="External"/><Relationship Id="rId14" Type="http://schemas.openxmlformats.org/officeDocument/2006/relationships/hyperlink" Target="https://www.ilo.org/wcmsp5/groups/public/---dgreports/---dcomm/---publ/documents/publication/wcms_65055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MTTAQ\Datos%20de%20programa\Microsoft\Plantillas\INFORME%20CON%20CARATU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35E425D3694C54FA04BB28B0E86A0B5" ma:contentTypeVersion="1" ma:contentTypeDescription="Crear nuevo documento." ma:contentTypeScope="" ma:versionID="7549651b13b11446518be28548b62826">
  <xsd:schema xmlns:xsd="http://www.w3.org/2001/XMLSchema" xmlns:xs="http://www.w3.org/2001/XMLSchema" xmlns:p="http://schemas.microsoft.com/office/2006/metadata/properties" xmlns:ns1="http://schemas.microsoft.com/sharepoint/v3" targetNamespace="http://schemas.microsoft.com/office/2006/metadata/properties" ma:root="true" ma:fieldsID="70d4e0a4fc136c90bc7b75900902a2c3" ns1:_="">
    <xsd:import namespace="http://schemas.microsoft.com/sharepoint/v3"/>
    <xsd:element name="properties">
      <xsd:complexType>
        <xsd:sequence>
          <xsd:element name="documentManagement">
            <xsd:complexType>
              <xsd:all>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iewGuid" ma:index="8" nillable="true" ma:displayName="Ver GUID" ma:description="GUID de la vista"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iewGui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EE969-BF7D-4053-9DF5-1CC8E3603646}">
  <ds:schemaRefs>
    <ds:schemaRef ds:uri="http://schemas.microsoft.com/sharepoint/v3/contenttype/forms"/>
  </ds:schemaRefs>
</ds:datastoreItem>
</file>

<file path=customXml/itemProps2.xml><?xml version="1.0" encoding="utf-8"?>
<ds:datastoreItem xmlns:ds="http://schemas.openxmlformats.org/officeDocument/2006/customXml" ds:itemID="{5034961E-E961-4995-B3C3-A6DCD9E53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E55785-4AE2-4458-8871-1E3A1F3A8D14}">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B97F1689-2768-42C3-8FB0-150556CE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CON CARATULA.dot</Template>
  <TotalTime>18</TotalTime>
  <Pages>49</Pages>
  <Words>12887</Words>
  <Characters>65678</Characters>
  <Application>Microsoft Office Word</Application>
  <DocSecurity>0</DocSecurity>
  <Lines>547</Lines>
  <Paragraphs>156</Paragraphs>
  <ScaleCrop>false</ScaleCrop>
  <HeadingPairs>
    <vt:vector size="2" baseType="variant">
      <vt:variant>
        <vt:lpstr>Título</vt:lpstr>
      </vt:variant>
      <vt:variant>
        <vt:i4>1</vt:i4>
      </vt:variant>
    </vt:vector>
  </HeadingPairs>
  <TitlesOfParts>
    <vt:vector size="1" baseType="lpstr">
      <vt:lpstr/>
    </vt:vector>
  </TitlesOfParts>
  <Company>mtas</Company>
  <LinksUpToDate>false</LinksUpToDate>
  <CharactersWithSpaces>78409</CharactersWithSpaces>
  <SharedDoc>false</SharedDoc>
  <HLinks>
    <vt:vector size="48" baseType="variant">
      <vt:variant>
        <vt:i4>5046367</vt:i4>
      </vt:variant>
      <vt:variant>
        <vt:i4>21</vt:i4>
      </vt:variant>
      <vt:variant>
        <vt:i4>0</vt:i4>
      </vt:variant>
      <vt:variant>
        <vt:i4>5</vt:i4>
      </vt:variant>
      <vt:variant>
        <vt:lpwstr>http://ec.europa.eu/transparency/regdoc/rep/1/2017/ES/COM-2017-678-F1-ES-MAIN-PART-1.PDF</vt:lpwstr>
      </vt:variant>
      <vt:variant>
        <vt:lpwstr/>
      </vt:variant>
      <vt:variant>
        <vt:i4>3211347</vt:i4>
      </vt:variant>
      <vt:variant>
        <vt:i4>18</vt:i4>
      </vt:variant>
      <vt:variant>
        <vt:i4>0</vt:i4>
      </vt:variant>
      <vt:variant>
        <vt:i4>5</vt:i4>
      </vt:variant>
      <vt:variant>
        <vt:lpwstr>https://www.ilo.org/wcmsp5/groups/public/---dgreports/---dcomm/---publ/documents/publication/wcms_650553.pdf</vt:lpwstr>
      </vt:variant>
      <vt:variant>
        <vt:lpwstr/>
      </vt:variant>
      <vt:variant>
        <vt:i4>3735578</vt:i4>
      </vt:variant>
      <vt:variant>
        <vt:i4>15</vt:i4>
      </vt:variant>
      <vt:variant>
        <vt:i4>0</vt:i4>
      </vt:variant>
      <vt:variant>
        <vt:i4>5</vt:i4>
      </vt:variant>
      <vt:variant>
        <vt:lpwstr>http://www.ine.es/dyngs/INEbase/es/operacion.htm?c=Estadistica_C&amp;cid=1254736177025&amp;menu=resultados&amp;secc=1254736061996&amp;idp=1254735976596</vt:lpwstr>
      </vt:variant>
      <vt:variant>
        <vt:lpwstr/>
      </vt:variant>
      <vt:variant>
        <vt:i4>6029365</vt:i4>
      </vt:variant>
      <vt:variant>
        <vt:i4>12</vt:i4>
      </vt:variant>
      <vt:variant>
        <vt:i4>0</vt:i4>
      </vt:variant>
      <vt:variant>
        <vt:i4>5</vt:i4>
      </vt:variant>
      <vt:variant>
        <vt:lpwstr>https://ec.europa.eu/eurostat/statistics-explained/index.php/Gender_pay_gap_statistics</vt:lpwstr>
      </vt:variant>
      <vt:variant>
        <vt:lpwstr/>
      </vt:variant>
      <vt:variant>
        <vt:i4>3866664</vt:i4>
      </vt:variant>
      <vt:variant>
        <vt:i4>9</vt:i4>
      </vt:variant>
      <vt:variant>
        <vt:i4>0</vt:i4>
      </vt:variant>
      <vt:variant>
        <vt:i4>5</vt:i4>
      </vt:variant>
      <vt:variant>
        <vt:lpwstr>https://www.airef.es/wp-content/uploads/2019/05/informe-ape/Informe_AIReF_APE-2019-2022.pdf</vt:lpwstr>
      </vt:variant>
      <vt:variant>
        <vt:lpwstr/>
      </vt:variant>
      <vt:variant>
        <vt:i4>7143539</vt:i4>
      </vt:variant>
      <vt:variant>
        <vt:i4>6</vt:i4>
      </vt:variant>
      <vt:variant>
        <vt:i4>0</vt:i4>
      </vt:variant>
      <vt:variant>
        <vt:i4>5</vt:i4>
      </vt:variant>
      <vt:variant>
        <vt:lpwstr>https://www.bde.es/f/webbde/SES/Secciones/Publicaciones/PublicacionesSeriadas/DocumentosOcasionales/21/Fich/do2113.pdf</vt:lpwstr>
      </vt:variant>
      <vt:variant>
        <vt:lpwstr/>
      </vt:variant>
      <vt:variant>
        <vt:i4>851986</vt:i4>
      </vt:variant>
      <vt:variant>
        <vt:i4>3</vt:i4>
      </vt:variant>
      <vt:variant>
        <vt:i4>0</vt:i4>
      </vt:variant>
      <vt:variant>
        <vt:i4>5</vt:i4>
      </vt:variant>
      <vt:variant>
        <vt:lpwstr>https://rm.coe.int/168048b059</vt:lpwstr>
      </vt:variant>
      <vt:variant>
        <vt:lpwstr/>
      </vt:variant>
      <vt:variant>
        <vt:i4>3932271</vt:i4>
      </vt:variant>
      <vt:variant>
        <vt:i4>0</vt:i4>
      </vt:variant>
      <vt:variant>
        <vt:i4>0</vt:i4>
      </vt:variant>
      <vt:variant>
        <vt:i4>5</vt:i4>
      </vt:variant>
      <vt:variant>
        <vt:lpwstr>https://ec.europa.eu/economy_finance/forecasts/2021/summer/ecfin_forecast_summer_2021_es_en.pdf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INSTALA</dc:creator>
  <cp:keywords/>
  <dc:description/>
  <cp:lastModifiedBy>FERNANDEZ MORENO, SUSANA</cp:lastModifiedBy>
  <cp:revision>3</cp:revision>
  <cp:lastPrinted>2020-01-30T09:32:00Z</cp:lastPrinted>
  <dcterms:created xsi:type="dcterms:W3CDTF">2024-01-12T13:00:00Z</dcterms:created>
  <dcterms:modified xsi:type="dcterms:W3CDTF">2024-01-12T13:22:00Z</dcterms:modified>
</cp:coreProperties>
</file>